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9B" w:rsidRDefault="0097389B">
      <w:pPr>
        <w:rPr>
          <w:rFonts w:ascii="Trebuchet MS" w:hAnsi="Trebuchet MS"/>
          <w:b/>
        </w:rPr>
      </w:pPr>
      <w:r>
        <w:rPr>
          <w:rFonts w:ascii="Trebuchet MS" w:hAnsi="Trebuchet MS"/>
          <w:b/>
        </w:rPr>
        <w:t>For Immediate Release:</w:t>
      </w:r>
    </w:p>
    <w:p w:rsidR="0097389B" w:rsidRDefault="0097389B">
      <w:pPr>
        <w:rPr>
          <w:rFonts w:ascii="Trebuchet MS" w:hAnsi="Trebuchet MS"/>
        </w:rPr>
      </w:pPr>
    </w:p>
    <w:p w:rsidR="0097389B" w:rsidRDefault="0097389B">
      <w:pPr>
        <w:rPr>
          <w:rFonts w:ascii="Trebuchet MS" w:hAnsi="Trebuchet MS"/>
          <w:b/>
          <w:sz w:val="22"/>
          <w:szCs w:val="22"/>
        </w:rPr>
      </w:pPr>
      <w:r>
        <w:rPr>
          <w:rFonts w:ascii="Trebuchet MS" w:hAnsi="Trebuchet MS"/>
          <w:b/>
          <w:sz w:val="22"/>
          <w:szCs w:val="22"/>
        </w:rPr>
        <w:t>Contact:</w:t>
      </w:r>
      <w:r>
        <w:rPr>
          <w:rFonts w:ascii="Trebuchet MS" w:hAnsi="Trebuchet MS"/>
          <w:sz w:val="22"/>
          <w:szCs w:val="22"/>
        </w:rPr>
        <w:t xml:space="preserve"> </w:t>
      </w:r>
    </w:p>
    <w:tbl>
      <w:tblPr>
        <w:tblW w:w="3690" w:type="dxa"/>
        <w:tblLook w:val="01E0"/>
      </w:tblPr>
      <w:tblGrid>
        <w:gridCol w:w="3690"/>
      </w:tblGrid>
      <w:tr w:rsidR="0097389B">
        <w:trPr>
          <w:trHeight w:val="293"/>
        </w:trPr>
        <w:tc>
          <w:tcPr>
            <w:tcW w:w="3690" w:type="dxa"/>
          </w:tcPr>
          <w:p w:rsidR="0097389B" w:rsidRDefault="0097389B">
            <w:pPr>
              <w:rPr>
                <w:rFonts w:ascii="Trebuchet MS" w:hAnsi="Trebuchet MS"/>
                <w:sz w:val="22"/>
                <w:szCs w:val="22"/>
              </w:rPr>
            </w:pPr>
            <w:r>
              <w:rPr>
                <w:rFonts w:ascii="Trebuchet MS" w:hAnsi="Trebuchet MS"/>
                <w:sz w:val="22"/>
                <w:szCs w:val="22"/>
              </w:rPr>
              <w:t>Troy Janisch</w:t>
            </w:r>
          </w:p>
        </w:tc>
      </w:tr>
      <w:tr w:rsidR="0097389B">
        <w:trPr>
          <w:trHeight w:val="293"/>
        </w:trPr>
        <w:tc>
          <w:tcPr>
            <w:tcW w:w="3690" w:type="dxa"/>
          </w:tcPr>
          <w:p w:rsidR="0097389B" w:rsidRDefault="0097389B">
            <w:pPr>
              <w:rPr>
                <w:rFonts w:ascii="Trebuchet MS" w:hAnsi="Trebuchet MS"/>
                <w:sz w:val="22"/>
                <w:szCs w:val="22"/>
              </w:rPr>
            </w:pPr>
            <w:r>
              <w:rPr>
                <w:rFonts w:ascii="Trebuchet MS" w:hAnsi="Trebuchet MS"/>
                <w:sz w:val="22"/>
                <w:szCs w:val="22"/>
              </w:rPr>
              <w:t>BizFilings</w:t>
            </w:r>
          </w:p>
        </w:tc>
      </w:tr>
      <w:tr w:rsidR="0097389B">
        <w:trPr>
          <w:trHeight w:val="293"/>
        </w:trPr>
        <w:tc>
          <w:tcPr>
            <w:tcW w:w="3690" w:type="dxa"/>
          </w:tcPr>
          <w:p w:rsidR="0097389B" w:rsidRDefault="0097389B">
            <w:pPr>
              <w:rPr>
                <w:rFonts w:ascii="Trebuchet MS" w:hAnsi="Trebuchet MS"/>
                <w:sz w:val="22"/>
                <w:szCs w:val="22"/>
              </w:rPr>
            </w:pPr>
            <w:r>
              <w:rPr>
                <w:rFonts w:ascii="Trebuchet MS" w:hAnsi="Trebuchet MS"/>
                <w:sz w:val="22"/>
                <w:szCs w:val="22"/>
              </w:rPr>
              <w:t>608.827.5300</w:t>
            </w:r>
          </w:p>
        </w:tc>
      </w:tr>
      <w:tr w:rsidR="0097389B">
        <w:trPr>
          <w:trHeight w:val="293"/>
        </w:trPr>
        <w:tc>
          <w:tcPr>
            <w:tcW w:w="3690" w:type="dxa"/>
          </w:tcPr>
          <w:p w:rsidR="0097389B" w:rsidRDefault="0097389B">
            <w:pPr>
              <w:rPr>
                <w:rFonts w:ascii="Trebuchet MS" w:hAnsi="Trebuchet MS"/>
                <w:sz w:val="22"/>
                <w:szCs w:val="22"/>
              </w:rPr>
            </w:pPr>
            <w:r>
              <w:rPr>
                <w:rFonts w:ascii="Trebuchet MS" w:hAnsi="Trebuchet MS"/>
                <w:sz w:val="22"/>
                <w:szCs w:val="22"/>
              </w:rPr>
              <w:t>troy.janisch@wolterskluwer.com</w:t>
            </w:r>
          </w:p>
        </w:tc>
      </w:tr>
    </w:tbl>
    <w:p w:rsidR="0097389B" w:rsidRDefault="0097389B">
      <w:pPr>
        <w:pStyle w:val="Heading2"/>
        <w:ind w:left="720" w:firstLine="720"/>
        <w:rPr>
          <w:rFonts w:ascii="Arial" w:hAnsi="Arial"/>
          <w:sz w:val="22"/>
          <w:szCs w:val="22"/>
        </w:rPr>
      </w:pPr>
    </w:p>
    <w:p w:rsidR="0097389B" w:rsidRPr="008A405A" w:rsidRDefault="0097389B" w:rsidP="0097389B">
      <w:pPr>
        <w:pStyle w:val="Heading1"/>
        <w:rPr>
          <w:rFonts w:ascii="Trebuchet MS" w:hAnsi="Trebuchet MS"/>
          <w:b/>
          <w:i w:val="0"/>
          <w:sz w:val="22"/>
          <w:szCs w:val="22"/>
        </w:rPr>
      </w:pPr>
    </w:p>
    <w:p w:rsidR="0097389B" w:rsidRPr="008A405A" w:rsidRDefault="0097389B" w:rsidP="0097389B">
      <w:pPr>
        <w:jc w:val="center"/>
        <w:rPr>
          <w:rFonts w:ascii="Trebuchet MS" w:hAnsi="Trebuchet MS"/>
          <w:sz w:val="22"/>
          <w:szCs w:val="22"/>
        </w:rPr>
      </w:pPr>
      <w:r w:rsidRPr="008A405A">
        <w:rPr>
          <w:rFonts w:ascii="Trebuchet MS" w:hAnsi="Trebuchet MS"/>
          <w:b/>
          <w:sz w:val="22"/>
          <w:szCs w:val="22"/>
        </w:rPr>
        <w:t>FORM A 2009 CORPORATION OR LLC NOW FOR ADDED PROTECTION NEXT YEAR</w:t>
      </w:r>
    </w:p>
    <w:p w:rsidR="0097389B" w:rsidRPr="008A405A" w:rsidRDefault="0097389B" w:rsidP="0097389B">
      <w:pPr>
        <w:shd w:val="clear" w:color="auto" w:fill="FFFFFF"/>
        <w:spacing w:line="288" w:lineRule="atLeast"/>
        <w:jc w:val="center"/>
        <w:rPr>
          <w:rFonts w:ascii="Trebuchet MS" w:hAnsi="Trebuchet MS"/>
          <w:b/>
          <w:sz w:val="22"/>
          <w:szCs w:val="22"/>
        </w:rPr>
      </w:pPr>
      <w:r w:rsidRPr="008A405A">
        <w:rPr>
          <w:rFonts w:ascii="Trebuchet MS" w:hAnsi="Trebuchet MS"/>
          <w:i/>
          <w:sz w:val="22"/>
          <w:szCs w:val="22"/>
        </w:rPr>
        <w:t>Business owners who form</w:t>
      </w:r>
      <w:r>
        <w:rPr>
          <w:rFonts w:ascii="Trebuchet MS" w:hAnsi="Trebuchet MS"/>
          <w:i/>
          <w:sz w:val="22"/>
          <w:szCs w:val="22"/>
        </w:rPr>
        <w:t xml:space="preserve"> 2009</w:t>
      </w:r>
      <w:r w:rsidRPr="008A405A">
        <w:rPr>
          <w:rFonts w:ascii="Trebuchet MS" w:hAnsi="Trebuchet MS"/>
          <w:i/>
          <w:sz w:val="22"/>
          <w:szCs w:val="22"/>
        </w:rPr>
        <w:t xml:space="preserve"> entities now will save time and gain liability protection</w:t>
      </w:r>
    </w:p>
    <w:p w:rsidR="0097389B" w:rsidRDefault="0097389B" w:rsidP="0097389B">
      <w:pPr>
        <w:shd w:val="clear" w:color="auto" w:fill="FFFFFF"/>
        <w:spacing w:line="288" w:lineRule="atLeast"/>
        <w:rPr>
          <w:rFonts w:ascii="Arial" w:hAnsi="Arial"/>
          <w:b/>
          <w:sz w:val="22"/>
          <w:szCs w:val="22"/>
        </w:rPr>
      </w:pPr>
    </w:p>
    <w:p w:rsidR="0097389B" w:rsidRDefault="0097389B" w:rsidP="0097389B">
      <w:pPr>
        <w:shd w:val="clear" w:color="auto" w:fill="FFFFFF"/>
        <w:spacing w:line="288" w:lineRule="atLeast"/>
        <w:rPr>
          <w:rFonts w:ascii="Arial" w:eastAsia="Times New Roman" w:hAnsi="Arial"/>
          <w:sz w:val="22"/>
          <w:szCs w:val="22"/>
        </w:rPr>
      </w:pPr>
      <w:smartTag w:uri="urn:schemas-microsoft-com:office:smarttags" w:element="place">
        <w:smartTag w:uri="urn:schemas-microsoft-com:office:smarttags" w:element="City">
          <w:r>
            <w:rPr>
              <w:rFonts w:ascii="Arial" w:hAnsi="Arial"/>
              <w:b/>
              <w:sz w:val="22"/>
              <w:szCs w:val="22"/>
            </w:rPr>
            <w:t>Madison</w:t>
          </w:r>
        </w:smartTag>
        <w:r>
          <w:rPr>
            <w:rFonts w:ascii="Arial" w:hAnsi="Arial"/>
            <w:b/>
            <w:sz w:val="22"/>
            <w:szCs w:val="22"/>
          </w:rPr>
          <w:t xml:space="preserve">, </w:t>
        </w:r>
        <w:smartTag w:uri="urn:schemas-microsoft-com:office:smarttags" w:element="State">
          <w:r>
            <w:rPr>
              <w:rFonts w:ascii="Arial" w:hAnsi="Arial"/>
              <w:b/>
              <w:sz w:val="22"/>
              <w:szCs w:val="22"/>
            </w:rPr>
            <w:t>WI</w:t>
          </w:r>
        </w:smartTag>
      </w:smartTag>
      <w:r>
        <w:rPr>
          <w:rFonts w:ascii="Arial" w:hAnsi="Arial"/>
          <w:sz w:val="22"/>
          <w:szCs w:val="22"/>
        </w:rPr>
        <w:t xml:space="preserve"> – October 9, 2008 – www.bizfilings.com – </w:t>
      </w:r>
      <w:r w:rsidRPr="008A405A">
        <w:rPr>
          <w:rFonts w:ascii="Arial" w:hAnsi="Arial"/>
          <w:sz w:val="22"/>
          <w:szCs w:val="22"/>
        </w:rPr>
        <w:t>Although it may be too late for sole proprietors to gain the tax advantages of forming an LLC or corporation in 2008, it’s not too early to begin adopting these changes for 2009.</w:t>
      </w:r>
    </w:p>
    <w:p w:rsidR="0097389B" w:rsidRPr="008A405A" w:rsidRDefault="0097389B" w:rsidP="0097389B">
      <w:pPr>
        <w:shd w:val="clear" w:color="auto" w:fill="FFFFFF"/>
        <w:spacing w:line="288" w:lineRule="atLeast"/>
        <w:rPr>
          <w:rFonts w:ascii="Arial" w:hAnsi="Arial"/>
          <w:sz w:val="22"/>
          <w:szCs w:val="22"/>
        </w:rPr>
      </w:pPr>
    </w:p>
    <w:p w:rsidR="0097389B" w:rsidRDefault="0097389B" w:rsidP="0097389B">
      <w:pPr>
        <w:shd w:val="clear" w:color="auto" w:fill="FFFFFF"/>
        <w:spacing w:line="288" w:lineRule="atLeast"/>
        <w:rPr>
          <w:rFonts w:ascii="Arial" w:eastAsia="Times New Roman" w:hAnsi="Arial"/>
          <w:sz w:val="22"/>
          <w:szCs w:val="22"/>
        </w:rPr>
      </w:pPr>
      <w:r w:rsidRPr="00207137">
        <w:rPr>
          <w:rFonts w:ascii="Arial" w:eastAsia="Times New Roman" w:hAnsi="Arial"/>
          <w:sz w:val="22"/>
          <w:szCs w:val="22"/>
        </w:rPr>
        <w:t>Converting a sole proprietorship to a</w:t>
      </w:r>
      <w:r w:rsidR="008A2185" w:rsidRPr="00207137">
        <w:rPr>
          <w:rFonts w:ascii="Arial" w:eastAsia="Times New Roman" w:hAnsi="Arial"/>
          <w:sz w:val="22"/>
          <w:szCs w:val="22"/>
        </w:rPr>
        <w:t xml:space="preserve"> </w:t>
      </w:r>
      <w:hyperlink r:id="rId7" w:history="1">
        <w:r w:rsidR="008A2185" w:rsidRPr="00207137">
          <w:rPr>
            <w:rStyle w:val="Hyperlink"/>
            <w:rFonts w:ascii="Arial" w:eastAsia="Times New Roman" w:hAnsi="Arial"/>
            <w:sz w:val="22"/>
            <w:szCs w:val="22"/>
          </w:rPr>
          <w:t>Limited Liability Company</w:t>
        </w:r>
      </w:hyperlink>
      <w:r w:rsidRPr="00207137">
        <w:rPr>
          <w:rFonts w:ascii="Arial" w:eastAsia="Times New Roman" w:hAnsi="Arial"/>
          <w:sz w:val="22"/>
          <w:szCs w:val="22"/>
        </w:rPr>
        <w:t xml:space="preserve"> </w:t>
      </w:r>
      <w:r w:rsidR="008A2185" w:rsidRPr="00207137">
        <w:rPr>
          <w:rFonts w:ascii="Arial" w:eastAsia="Times New Roman" w:hAnsi="Arial"/>
          <w:sz w:val="22"/>
          <w:szCs w:val="22"/>
        </w:rPr>
        <w:t>(</w:t>
      </w:r>
      <w:hyperlink r:id="rId8" w:history="1">
        <w:r w:rsidRPr="00207137">
          <w:rPr>
            <w:rStyle w:val="Hyperlink"/>
            <w:rFonts w:ascii="Arial" w:eastAsia="Times New Roman" w:hAnsi="Arial"/>
            <w:sz w:val="22"/>
            <w:szCs w:val="22"/>
          </w:rPr>
          <w:t>LLC</w:t>
        </w:r>
      </w:hyperlink>
      <w:r w:rsidR="008A2185" w:rsidRPr="00207137">
        <w:rPr>
          <w:rFonts w:ascii="Arial" w:eastAsia="Times New Roman" w:hAnsi="Arial"/>
          <w:sz w:val="22"/>
          <w:szCs w:val="22"/>
        </w:rPr>
        <w:t xml:space="preserve">) </w:t>
      </w:r>
      <w:r w:rsidRPr="008A405A">
        <w:rPr>
          <w:rFonts w:ascii="Arial" w:eastAsia="Times New Roman" w:hAnsi="Arial"/>
          <w:sz w:val="22"/>
          <w:szCs w:val="22"/>
        </w:rPr>
        <w:t>or corporation provides tax advantages and personal liability protection to a company’s owners. Switching a sole proprietorship to a corporation, for example, may qualify a business for a Small Business Tax Deduction with an annual tax credit of 16 percent on the first $200,000 of taxable income; can result in self-employment tax savings; and may provide a number of other income and tax advantages.</w:t>
      </w:r>
    </w:p>
    <w:p w:rsidR="0097389B" w:rsidRPr="008A405A" w:rsidRDefault="0097389B" w:rsidP="0097389B">
      <w:pPr>
        <w:shd w:val="clear" w:color="auto" w:fill="FFFFFF"/>
        <w:spacing w:line="288" w:lineRule="atLeast"/>
        <w:rPr>
          <w:rFonts w:ascii="Arial" w:eastAsia="Times New Roman" w:hAnsi="Arial"/>
          <w:sz w:val="22"/>
          <w:szCs w:val="22"/>
        </w:rPr>
      </w:pPr>
    </w:p>
    <w:p w:rsidR="0097389B" w:rsidRPr="008A405A" w:rsidRDefault="0097389B" w:rsidP="0097389B">
      <w:pPr>
        <w:shd w:val="clear" w:color="auto" w:fill="FFFFFF"/>
        <w:spacing w:line="288" w:lineRule="atLeast"/>
        <w:rPr>
          <w:rFonts w:ascii="Arial" w:eastAsia="Times New Roman" w:hAnsi="Arial"/>
          <w:sz w:val="22"/>
          <w:szCs w:val="22"/>
        </w:rPr>
      </w:pPr>
      <w:r w:rsidRPr="008A405A">
        <w:rPr>
          <w:rFonts w:ascii="Arial" w:eastAsia="Times New Roman" w:hAnsi="Arial"/>
          <w:sz w:val="22"/>
          <w:szCs w:val="22"/>
        </w:rPr>
        <w:t xml:space="preserve">“When </w:t>
      </w:r>
      <w:r w:rsidRPr="00207137">
        <w:rPr>
          <w:rFonts w:ascii="Arial" w:eastAsia="Times New Roman" w:hAnsi="Arial"/>
          <w:sz w:val="22"/>
          <w:szCs w:val="22"/>
        </w:rPr>
        <w:t xml:space="preserve">converting a sole proprietorship to a </w:t>
      </w:r>
      <w:hyperlink r:id="rId9" w:history="1">
        <w:r w:rsidRPr="00207137">
          <w:rPr>
            <w:rStyle w:val="Hyperlink"/>
            <w:rFonts w:ascii="Arial" w:eastAsia="Times New Roman" w:hAnsi="Arial"/>
            <w:sz w:val="22"/>
            <w:szCs w:val="22"/>
          </w:rPr>
          <w:t>corporation</w:t>
        </w:r>
      </w:hyperlink>
      <w:r w:rsidRPr="008A405A">
        <w:rPr>
          <w:rFonts w:ascii="Arial" w:eastAsia="Times New Roman" w:hAnsi="Arial"/>
          <w:sz w:val="22"/>
          <w:szCs w:val="22"/>
        </w:rPr>
        <w:t> or LLC, timing is a consideration,” said Karen Kobelski, general manager for BizFilings. “If you change your entity at the very end or very beginning of a new year, you can simplify reporting by putting all or most of the income and expenses on one return for the entity in existence for most of the year.”</w:t>
      </w:r>
      <w:r>
        <w:rPr>
          <w:rFonts w:ascii="Arial" w:eastAsia="Times New Roman" w:hAnsi="Arial"/>
          <w:sz w:val="22"/>
          <w:szCs w:val="22"/>
        </w:rPr>
        <w:t xml:space="preserve"> </w:t>
      </w:r>
      <w:r w:rsidRPr="008A405A">
        <w:rPr>
          <w:rFonts w:ascii="Arial" w:eastAsia="Times New Roman" w:hAnsi="Arial"/>
          <w:sz w:val="22"/>
          <w:szCs w:val="22"/>
        </w:rPr>
        <w:t xml:space="preserve">Otherwise, when you set up a new entity, </w:t>
      </w:r>
      <w:r>
        <w:rPr>
          <w:rFonts w:ascii="Arial" w:eastAsia="Times New Roman" w:hAnsi="Arial"/>
          <w:sz w:val="22"/>
          <w:szCs w:val="22"/>
        </w:rPr>
        <w:t>s</w:t>
      </w:r>
      <w:r w:rsidRPr="008A405A">
        <w:rPr>
          <w:rFonts w:ascii="Arial" w:eastAsia="Times New Roman" w:hAnsi="Arial"/>
          <w:sz w:val="22"/>
          <w:szCs w:val="22"/>
        </w:rPr>
        <w:t>he said you need multiple returns in the same calendar year–one for the sole proprietorship and a second one for the new entity.</w:t>
      </w:r>
    </w:p>
    <w:p w:rsidR="0097389B" w:rsidRDefault="0097389B" w:rsidP="0097389B">
      <w:pPr>
        <w:shd w:val="clear" w:color="auto" w:fill="FFFFFF"/>
        <w:spacing w:line="288" w:lineRule="atLeast"/>
        <w:rPr>
          <w:rFonts w:ascii="Arial" w:eastAsia="Times New Roman" w:hAnsi="Arial"/>
          <w:sz w:val="22"/>
          <w:szCs w:val="22"/>
        </w:rPr>
      </w:pPr>
    </w:p>
    <w:p w:rsidR="0097389B" w:rsidRPr="008A405A" w:rsidRDefault="0097389B" w:rsidP="0097389B">
      <w:pPr>
        <w:shd w:val="clear" w:color="auto" w:fill="FFFFFF"/>
        <w:spacing w:line="288" w:lineRule="atLeast"/>
        <w:rPr>
          <w:rFonts w:ascii="Arial" w:eastAsia="Times New Roman" w:hAnsi="Arial"/>
          <w:sz w:val="22"/>
          <w:szCs w:val="22"/>
        </w:rPr>
      </w:pPr>
      <w:r w:rsidRPr="008A405A">
        <w:rPr>
          <w:rFonts w:ascii="Arial" w:eastAsia="Times New Roman" w:hAnsi="Arial"/>
          <w:sz w:val="22"/>
          <w:szCs w:val="22"/>
        </w:rPr>
        <w:t>A popular reason for forming new entities after Jan. 1 of a new year is to avoid state reporting or franchise fees for the current year, especially when the new entity is inactive. There are usually no tax consequences upon transforming a business from a sole proprietorship to an LLC or corporation. The changeover is essentially a tax-free reorganization. You contribute assets of the sole proprietorship to the new entity in exchange for an ownership interest in the LLC or corporation. Tax attributes of those assets also carryover.</w:t>
      </w:r>
    </w:p>
    <w:p w:rsidR="0097389B" w:rsidRDefault="0097389B" w:rsidP="0097389B">
      <w:pPr>
        <w:shd w:val="clear" w:color="auto" w:fill="FFFFFF"/>
        <w:spacing w:line="288" w:lineRule="atLeast"/>
        <w:rPr>
          <w:rFonts w:ascii="Arial" w:eastAsia="Times New Roman" w:hAnsi="Arial"/>
          <w:sz w:val="22"/>
          <w:szCs w:val="22"/>
        </w:rPr>
      </w:pPr>
    </w:p>
    <w:p w:rsidR="0097389B" w:rsidRPr="008A405A" w:rsidRDefault="0097389B" w:rsidP="0097389B">
      <w:pPr>
        <w:shd w:val="clear" w:color="auto" w:fill="FFFFFF"/>
        <w:spacing w:line="288" w:lineRule="atLeast"/>
        <w:rPr>
          <w:rFonts w:ascii="Arial" w:eastAsia="Times New Roman" w:hAnsi="Arial"/>
          <w:sz w:val="22"/>
          <w:szCs w:val="22"/>
        </w:rPr>
      </w:pPr>
      <w:r w:rsidRPr="008A405A">
        <w:rPr>
          <w:rFonts w:ascii="Arial" w:eastAsia="Times New Roman" w:hAnsi="Arial"/>
          <w:sz w:val="22"/>
          <w:szCs w:val="22"/>
        </w:rPr>
        <w:t>October through January are THE busiest months of the year for state filing offices. That is why individuals forming a corporation or LLC during this time often experience excessive delays.</w:t>
      </w:r>
    </w:p>
    <w:p w:rsidR="0097389B" w:rsidRDefault="0097389B" w:rsidP="0097389B">
      <w:pPr>
        <w:shd w:val="clear" w:color="auto" w:fill="FFFFFF"/>
        <w:spacing w:line="288" w:lineRule="atLeast"/>
        <w:rPr>
          <w:rFonts w:ascii="Arial" w:eastAsia="Times New Roman" w:hAnsi="Arial"/>
          <w:sz w:val="22"/>
          <w:szCs w:val="22"/>
        </w:rPr>
      </w:pPr>
    </w:p>
    <w:p w:rsidR="0097389B" w:rsidRPr="008A405A" w:rsidRDefault="0097389B" w:rsidP="0097389B">
      <w:pPr>
        <w:shd w:val="clear" w:color="auto" w:fill="FFFFFF"/>
        <w:spacing w:line="288" w:lineRule="atLeast"/>
        <w:rPr>
          <w:rFonts w:ascii="Arial" w:eastAsia="Times New Roman" w:hAnsi="Arial"/>
          <w:sz w:val="22"/>
          <w:szCs w:val="22"/>
        </w:rPr>
      </w:pPr>
      <w:r w:rsidRPr="008A405A">
        <w:rPr>
          <w:rFonts w:ascii="Arial" w:eastAsia="Times New Roman" w:hAnsi="Arial"/>
          <w:sz w:val="22"/>
          <w:szCs w:val="22"/>
        </w:rPr>
        <w:t xml:space="preserve">To help business owners minimize delays and reorganize their business structure for the upcoming year, </w:t>
      </w:r>
      <w:hyperlink r:id="rId10" w:tooltip="incorporation services" w:history="1">
        <w:r w:rsidRPr="008A405A">
          <w:rPr>
            <w:rStyle w:val="Hyperlink"/>
            <w:rFonts w:ascii="Arial" w:eastAsia="Times New Roman" w:hAnsi="Arial"/>
            <w:sz w:val="22"/>
            <w:szCs w:val="22"/>
          </w:rPr>
          <w:t>business incorporation services</w:t>
        </w:r>
      </w:hyperlink>
      <w:r w:rsidRPr="008A405A">
        <w:rPr>
          <w:rFonts w:ascii="Arial" w:eastAsia="Times New Roman" w:hAnsi="Arial"/>
          <w:sz w:val="22"/>
          <w:szCs w:val="22"/>
        </w:rPr>
        <w:t xml:space="preserve"> leader </w:t>
      </w:r>
      <w:hyperlink r:id="rId11" w:tooltip="Form an LLC or Corporation" w:history="1">
        <w:r w:rsidRPr="008A405A">
          <w:rPr>
            <w:rStyle w:val="Hyperlink"/>
            <w:rFonts w:ascii="Arial" w:eastAsia="Times New Roman" w:hAnsi="Arial"/>
            <w:sz w:val="22"/>
            <w:szCs w:val="22"/>
          </w:rPr>
          <w:t>BizFilings</w:t>
        </w:r>
      </w:hyperlink>
      <w:r w:rsidRPr="008A405A">
        <w:rPr>
          <w:rFonts w:ascii="Arial" w:eastAsia="Times New Roman" w:hAnsi="Arial"/>
          <w:sz w:val="22"/>
          <w:szCs w:val="22"/>
        </w:rPr>
        <w:t xml:space="preserve"> offers a “delayed filing” service to customers placing an order by phone at (800) 981-7183. Under this option, BizFilings processes the order in 2008 and puts it in a queue for filing with the state on or after Jan. 1, 2009.</w:t>
      </w:r>
    </w:p>
    <w:p w:rsidR="0097389B" w:rsidRDefault="0097389B">
      <w:pPr>
        <w:shd w:val="clear" w:color="auto" w:fill="FFFFFF"/>
        <w:spacing w:line="288" w:lineRule="atLeast"/>
        <w:rPr>
          <w:rFonts w:ascii="Arial" w:hAnsi="Arial" w:cs="Arial"/>
          <w:sz w:val="22"/>
          <w:szCs w:val="22"/>
        </w:rPr>
      </w:pPr>
    </w:p>
    <w:p w:rsidR="0097389B" w:rsidRDefault="0097389B" w:rsidP="00207137">
      <w:pPr>
        <w:shd w:val="clear" w:color="auto" w:fill="FFFFFF"/>
        <w:spacing w:line="288" w:lineRule="atLeast"/>
      </w:pPr>
      <w:r>
        <w:rPr>
          <w:rFonts w:ascii="Arial" w:hAnsi="Arial" w:cs="Arial"/>
          <w:b/>
          <w:bCs/>
          <w:sz w:val="22"/>
          <w:szCs w:val="22"/>
        </w:rPr>
        <w:lastRenderedPageBreak/>
        <w:t>ABOUT BIZFILINGS</w:t>
      </w:r>
      <w:r>
        <w:rPr>
          <w:rFonts w:ascii="Arial" w:hAnsi="Arial" w:cs="Arial"/>
          <w:b/>
          <w:bCs/>
          <w:sz w:val="22"/>
          <w:szCs w:val="22"/>
        </w:rPr>
        <w:br/>
      </w:r>
      <w:r w:rsidR="00207137">
        <w:rPr>
          <w:rFonts w:ascii="Arial" w:hAnsi="Arial" w:cs="Arial"/>
          <w:bCs/>
          <w:sz w:val="22"/>
          <w:szCs w:val="22"/>
        </w:rPr>
        <w:t>BizFilings (www.bizfilings.com) is the Internet leader in providing incorporation and related services to business owners. Bizfilings professionally forms corporations, limited liability companies (LLCs), and nonprofits faster than anyone else. Its rush service makes it possible to file a corporation or LLC in as little as 24 hours.</w:t>
      </w:r>
      <w:r w:rsidR="00207137">
        <w:rPr>
          <w:rFonts w:ascii="Arial" w:hAnsi="Arial" w:cs="Arial"/>
          <w:bCs/>
          <w:sz w:val="22"/>
          <w:szCs w:val="22"/>
        </w:rPr>
        <w:br/>
      </w:r>
      <w:r w:rsidR="00207137">
        <w:rPr>
          <w:rFonts w:ascii="Arial" w:hAnsi="Arial" w:cs="Arial"/>
          <w:bCs/>
          <w:sz w:val="22"/>
          <w:szCs w:val="22"/>
        </w:rPr>
        <w:br/>
        <w:t>BizFilings is a part of Wolters Kluwer, a leading multinational publisher and information services company. Wolters Kluwer has annual revenues (2007) of €3.4 billion, maintains operations in over 33 countries across Europe, North America, and Asia Pacific and employs approximately 19,500 people worldwide.</w:t>
      </w:r>
      <w:bookmarkStart w:id="0" w:name="OLE_LINK3"/>
      <w:bookmarkStart w:id="1" w:name="OLE_LINK4"/>
    </w:p>
    <w:bookmarkEnd w:id="0"/>
    <w:bookmarkEnd w:id="1"/>
    <w:p w:rsidR="0097389B" w:rsidRDefault="0097389B">
      <w:pPr>
        <w:rPr>
          <w:rFonts w:ascii="Arial" w:hAnsi="Arial"/>
          <w:sz w:val="22"/>
          <w:szCs w:val="22"/>
        </w:rPr>
      </w:pPr>
    </w:p>
    <w:p w:rsidR="0097389B" w:rsidRDefault="0097389B">
      <w:pPr>
        <w:jc w:val="center"/>
        <w:rPr>
          <w:rFonts w:ascii="Arial" w:hAnsi="Arial"/>
          <w:sz w:val="22"/>
          <w:szCs w:val="22"/>
        </w:rPr>
      </w:pPr>
      <w:r>
        <w:rPr>
          <w:rFonts w:ascii="Arial" w:hAnsi="Arial"/>
          <w:sz w:val="22"/>
          <w:szCs w:val="22"/>
        </w:rPr>
        <w:t>###</w:t>
      </w:r>
    </w:p>
    <w:p w:rsidR="0097389B" w:rsidRDefault="0097389B">
      <w:pPr>
        <w:rPr>
          <w:rFonts w:ascii="Arial" w:hAnsi="Arial"/>
          <w:sz w:val="22"/>
          <w:szCs w:val="22"/>
        </w:rPr>
      </w:pPr>
    </w:p>
    <w:sectPr w:rsidR="0097389B">
      <w:pgSz w:w="12240" w:h="15840"/>
      <w:pgMar w:top="1440"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429" w:rsidRDefault="00F24429">
      <w:r>
        <w:separator/>
      </w:r>
    </w:p>
  </w:endnote>
  <w:endnote w:type="continuationSeparator" w:id="1">
    <w:p w:rsidR="00F24429" w:rsidRDefault="00F244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429" w:rsidRDefault="00F24429">
      <w:r>
        <w:separator/>
      </w:r>
    </w:p>
  </w:footnote>
  <w:footnote w:type="continuationSeparator" w:id="1">
    <w:p w:rsidR="00F24429" w:rsidRDefault="00F244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2246"/>
    <w:multiLevelType w:val="hybridMultilevel"/>
    <w:tmpl w:val="04A6933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A35587"/>
    <w:multiLevelType w:val="hybridMultilevel"/>
    <w:tmpl w:val="D11C9D6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622275DC"/>
    <w:multiLevelType w:val="multilevel"/>
    <w:tmpl w:val="7DEC4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69614C"/>
    <w:multiLevelType w:val="hybridMultilevel"/>
    <w:tmpl w:val="DC8A3DA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74727D95"/>
    <w:multiLevelType w:val="multilevel"/>
    <w:tmpl w:val="473A0042"/>
    <w:lvl w:ilvl="0">
      <w:start w:val="1"/>
      <w:numFmt w:val="bullet"/>
      <w:lvlText w:val=""/>
      <w:lvlJc w:val="left"/>
      <w:pPr>
        <w:tabs>
          <w:tab w:val="num" w:pos="720"/>
        </w:tabs>
        <w:ind w:left="720" w:hanging="360"/>
      </w:pPr>
      <w:rPr>
        <w:rFonts w:ascii="Wingdings" w:hAnsi="Wingdings" w:hint="default"/>
        <w:color w:val="569FD3"/>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97697"/>
    <w:rsid w:val="000474CD"/>
    <w:rsid w:val="00207137"/>
    <w:rsid w:val="002E49A5"/>
    <w:rsid w:val="00335D5B"/>
    <w:rsid w:val="007D21FD"/>
    <w:rsid w:val="008A2185"/>
    <w:rsid w:val="0097389B"/>
    <w:rsid w:val="00F24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rFonts w:ascii="Trebuchet MS" w:hAnsi="Trebuchet MS"/>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BodyTextIndent">
    <w:name w:val="Body Text Indent"/>
    <w:basedOn w:val="Normal"/>
    <w:pPr>
      <w:spacing w:line="360" w:lineRule="auto"/>
      <w:ind w:firstLine="720"/>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pPr>
    <w:rPr>
      <w:rFonts w:ascii="Times New Roman" w:eastAsia="Times New Roman" w:hAnsi="Times New Roman"/>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bodytext">
    <w:name w:val="bodytext"/>
    <w:basedOn w:val="Normal"/>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zfilings.com/products/llc.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zfilings.com/products/llc.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zfilings.com" TargetMode="External"/><Relationship Id="rId5" Type="http://schemas.openxmlformats.org/officeDocument/2006/relationships/footnotes" Target="footnotes.xml"/><Relationship Id="rId10" Type="http://schemas.openxmlformats.org/officeDocument/2006/relationships/hyperlink" Target="http://www.bizfilings.com/products/incorporate.asp" TargetMode="External"/><Relationship Id="rId4" Type="http://schemas.openxmlformats.org/officeDocument/2006/relationships/webSettings" Target="webSettings.xml"/><Relationship Id="rId9" Type="http://schemas.openxmlformats.org/officeDocument/2006/relationships/hyperlink" Target="http://www.bizfilings.com/products/incorporat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THG</Company>
  <LinksUpToDate>false</LinksUpToDate>
  <CharactersWithSpaces>3628</CharactersWithSpaces>
  <SharedDoc>false</SharedDoc>
  <HLinks>
    <vt:vector size="30" baseType="variant">
      <vt:variant>
        <vt:i4>3801120</vt:i4>
      </vt:variant>
      <vt:variant>
        <vt:i4>12</vt:i4>
      </vt:variant>
      <vt:variant>
        <vt:i4>0</vt:i4>
      </vt:variant>
      <vt:variant>
        <vt:i4>5</vt:i4>
      </vt:variant>
      <vt:variant>
        <vt:lpwstr>http://www.bizfilings.com/</vt:lpwstr>
      </vt:variant>
      <vt:variant>
        <vt:lpwstr/>
      </vt:variant>
      <vt:variant>
        <vt:i4>4063291</vt:i4>
      </vt:variant>
      <vt:variant>
        <vt:i4>9</vt:i4>
      </vt:variant>
      <vt:variant>
        <vt:i4>0</vt:i4>
      </vt:variant>
      <vt:variant>
        <vt:i4>5</vt:i4>
      </vt:variant>
      <vt:variant>
        <vt:lpwstr>http://www.bizfilings.com/products/incorporate.asp</vt:lpwstr>
      </vt:variant>
      <vt:variant>
        <vt:lpwstr/>
      </vt:variant>
      <vt:variant>
        <vt:i4>4063291</vt:i4>
      </vt:variant>
      <vt:variant>
        <vt:i4>6</vt:i4>
      </vt:variant>
      <vt:variant>
        <vt:i4>0</vt:i4>
      </vt:variant>
      <vt:variant>
        <vt:i4>5</vt:i4>
      </vt:variant>
      <vt:variant>
        <vt:lpwstr>http://www.bizfilings.com/products/incorporate.asp</vt:lpwstr>
      </vt:variant>
      <vt:variant>
        <vt:lpwstr/>
      </vt:variant>
      <vt:variant>
        <vt:i4>2228256</vt:i4>
      </vt:variant>
      <vt:variant>
        <vt:i4>3</vt:i4>
      </vt:variant>
      <vt:variant>
        <vt:i4>0</vt:i4>
      </vt:variant>
      <vt:variant>
        <vt:i4>5</vt:i4>
      </vt:variant>
      <vt:variant>
        <vt:lpwstr>http://www.bizfilings.com/products/llc.asp</vt:lpwstr>
      </vt:variant>
      <vt:variant>
        <vt:lpwstr/>
      </vt:variant>
      <vt:variant>
        <vt:i4>2228256</vt:i4>
      </vt:variant>
      <vt:variant>
        <vt:i4>0</vt:i4>
      </vt:variant>
      <vt:variant>
        <vt:i4>0</vt:i4>
      </vt:variant>
      <vt:variant>
        <vt:i4>5</vt:i4>
      </vt:variant>
      <vt:variant>
        <vt:lpwstr>http://www.bizfilings.com/products/llc.asp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Sarah Saubert</dc:creator>
  <cp:lastModifiedBy>Nicole Leach</cp:lastModifiedBy>
  <cp:revision>2</cp:revision>
  <cp:lastPrinted>2007-10-25T18:58:00Z</cp:lastPrinted>
  <dcterms:created xsi:type="dcterms:W3CDTF">2008-10-08T17:49:00Z</dcterms:created>
  <dcterms:modified xsi:type="dcterms:W3CDTF">2008-10-08T17:49:00Z</dcterms:modified>
</cp:coreProperties>
</file>