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B6B" w:rsidRDefault="008D6B6B">
      <w:pPr>
        <w:rPr>
          <w:rFonts w:ascii="Arial" w:hAnsi="Arial"/>
          <w:b/>
        </w:rPr>
      </w:pPr>
      <w:r>
        <w:rPr>
          <w:rFonts w:ascii="Arial" w:hAnsi="Arial"/>
          <w:b/>
        </w:rPr>
        <w:t>For Immediate Release:</w:t>
      </w:r>
    </w:p>
    <w:p w:rsidR="008D6B6B" w:rsidRDefault="008D6B6B">
      <w:pPr>
        <w:rPr>
          <w:rFonts w:ascii="Arial" w:hAnsi="Arial"/>
        </w:rPr>
      </w:pPr>
    </w:p>
    <w:p w:rsidR="008D6B6B" w:rsidRDefault="008D6B6B">
      <w:pPr>
        <w:rPr>
          <w:rFonts w:ascii="Arial" w:hAnsi="Arial"/>
          <w:b/>
          <w:sz w:val="22"/>
          <w:szCs w:val="22"/>
        </w:rPr>
      </w:pPr>
      <w:r>
        <w:rPr>
          <w:rFonts w:ascii="Arial" w:hAnsi="Arial"/>
          <w:b/>
          <w:sz w:val="22"/>
          <w:szCs w:val="22"/>
        </w:rPr>
        <w:t>Contact:</w:t>
      </w:r>
      <w:r>
        <w:rPr>
          <w:rFonts w:ascii="Arial" w:hAnsi="Arial"/>
          <w:sz w:val="22"/>
          <w:szCs w:val="22"/>
        </w:rPr>
        <w:t xml:space="preserve"> </w:t>
      </w:r>
    </w:p>
    <w:tbl>
      <w:tblPr>
        <w:tblW w:w="4548" w:type="dxa"/>
        <w:tblLook w:val="01E0"/>
      </w:tblPr>
      <w:tblGrid>
        <w:gridCol w:w="4548"/>
      </w:tblGrid>
      <w:tr w:rsidR="008D6B6B">
        <w:trPr>
          <w:trHeight w:val="293"/>
        </w:trPr>
        <w:tc>
          <w:tcPr>
            <w:tcW w:w="4548" w:type="dxa"/>
          </w:tcPr>
          <w:p w:rsidR="008D6B6B" w:rsidRDefault="008D6B6B">
            <w:pPr>
              <w:rPr>
                <w:rFonts w:ascii="Arial" w:hAnsi="Arial"/>
                <w:sz w:val="22"/>
                <w:szCs w:val="22"/>
              </w:rPr>
            </w:pPr>
            <w:r>
              <w:rPr>
                <w:rFonts w:ascii="Arial" w:hAnsi="Arial"/>
                <w:sz w:val="22"/>
                <w:szCs w:val="22"/>
              </w:rPr>
              <w:t>Troy Janisch</w:t>
            </w:r>
          </w:p>
        </w:tc>
      </w:tr>
      <w:tr w:rsidR="008D6B6B">
        <w:trPr>
          <w:trHeight w:val="293"/>
        </w:trPr>
        <w:tc>
          <w:tcPr>
            <w:tcW w:w="4548" w:type="dxa"/>
          </w:tcPr>
          <w:p w:rsidR="008D6B6B" w:rsidRDefault="008D6B6B">
            <w:pPr>
              <w:rPr>
                <w:rFonts w:ascii="Arial" w:hAnsi="Arial"/>
                <w:sz w:val="22"/>
                <w:szCs w:val="22"/>
              </w:rPr>
            </w:pPr>
            <w:r>
              <w:rPr>
                <w:rFonts w:ascii="Arial" w:hAnsi="Arial"/>
                <w:sz w:val="22"/>
                <w:szCs w:val="22"/>
              </w:rPr>
              <w:t>Business Owner's Toolkit</w:t>
            </w:r>
          </w:p>
        </w:tc>
      </w:tr>
      <w:tr w:rsidR="008D6B6B">
        <w:trPr>
          <w:trHeight w:val="293"/>
        </w:trPr>
        <w:tc>
          <w:tcPr>
            <w:tcW w:w="4548" w:type="dxa"/>
          </w:tcPr>
          <w:p w:rsidR="008D6B6B" w:rsidRDefault="0010752B">
            <w:pPr>
              <w:rPr>
                <w:rFonts w:ascii="Arial" w:hAnsi="Arial"/>
                <w:sz w:val="22"/>
                <w:szCs w:val="22"/>
              </w:rPr>
            </w:pPr>
            <w:r>
              <w:rPr>
                <w:rFonts w:ascii="Arial" w:hAnsi="Arial"/>
                <w:sz w:val="22"/>
                <w:szCs w:val="22"/>
              </w:rPr>
              <w:t>608-827-</w:t>
            </w:r>
            <w:r w:rsidR="00BB7CD2">
              <w:rPr>
                <w:rFonts w:ascii="Arial" w:hAnsi="Arial"/>
                <w:sz w:val="22"/>
                <w:szCs w:val="22"/>
              </w:rPr>
              <w:t>7629</w:t>
            </w:r>
          </w:p>
        </w:tc>
      </w:tr>
      <w:tr w:rsidR="008D6B6B">
        <w:trPr>
          <w:trHeight w:val="293"/>
        </w:trPr>
        <w:tc>
          <w:tcPr>
            <w:tcW w:w="4548" w:type="dxa"/>
          </w:tcPr>
          <w:p w:rsidR="008D6B6B" w:rsidRDefault="008D6B6B">
            <w:pPr>
              <w:rPr>
                <w:rFonts w:ascii="Arial" w:hAnsi="Arial"/>
                <w:sz w:val="22"/>
                <w:szCs w:val="22"/>
              </w:rPr>
            </w:pPr>
            <w:r>
              <w:rPr>
                <w:rFonts w:ascii="Arial" w:hAnsi="Arial"/>
                <w:sz w:val="22"/>
                <w:szCs w:val="22"/>
              </w:rPr>
              <w:t>troy.janisch@wolterskluwer.com</w:t>
            </w:r>
          </w:p>
        </w:tc>
      </w:tr>
    </w:tbl>
    <w:p w:rsidR="008D6B6B" w:rsidRDefault="008D6B6B">
      <w:pPr>
        <w:pStyle w:val="Heading2"/>
        <w:ind w:left="720" w:firstLine="720"/>
        <w:rPr>
          <w:rFonts w:ascii="Arial" w:hAnsi="Arial"/>
        </w:rPr>
      </w:pPr>
    </w:p>
    <w:p w:rsidR="008D6B6B" w:rsidRDefault="008D6B6B">
      <w:pPr>
        <w:pStyle w:val="Heading1"/>
        <w:rPr>
          <w:rFonts w:ascii="Arial" w:hAnsi="Arial"/>
          <w:b/>
          <w:i w:val="0"/>
          <w:sz w:val="28"/>
        </w:rPr>
      </w:pPr>
    </w:p>
    <w:p w:rsidR="008D6B6B" w:rsidRDefault="008D6B6B">
      <w:pPr>
        <w:rPr>
          <w:rFonts w:ascii="Arial" w:hAnsi="Arial"/>
          <w:b/>
          <w:sz w:val="22"/>
          <w:szCs w:val="22"/>
        </w:rPr>
      </w:pPr>
      <w:r>
        <w:rPr>
          <w:rFonts w:ascii="Arial" w:hAnsi="Arial"/>
          <w:b/>
          <w:sz w:val="22"/>
          <w:szCs w:val="22"/>
        </w:rPr>
        <w:t>To Save on Taxes in April, Business Owners need to Implement Tax Strategies Now</w:t>
      </w:r>
    </w:p>
    <w:p w:rsidR="006476C7" w:rsidRDefault="006476C7">
      <w:pPr>
        <w:rPr>
          <w:rFonts w:ascii="Arial" w:hAnsi="Arial"/>
          <w:sz w:val="22"/>
          <w:szCs w:val="22"/>
        </w:rPr>
      </w:pPr>
    </w:p>
    <w:p w:rsidR="008D6B6B" w:rsidRDefault="008D6B6B">
      <w:pPr>
        <w:rPr>
          <w:rFonts w:ascii="Arial" w:hAnsi="Arial"/>
          <w:i/>
          <w:sz w:val="22"/>
          <w:szCs w:val="22"/>
        </w:rPr>
      </w:pPr>
      <w:r>
        <w:rPr>
          <w:rFonts w:ascii="Arial" w:hAnsi="Arial"/>
          <w:i/>
          <w:sz w:val="22"/>
          <w:szCs w:val="22"/>
        </w:rPr>
        <w:t>Accelerating Expenses, Postponing Income, or Incorporating a Business Now May Help in April</w:t>
      </w:r>
    </w:p>
    <w:p w:rsidR="008D6B6B" w:rsidRDefault="008D6B6B">
      <w:pPr>
        <w:pStyle w:val="NormalWeb"/>
        <w:rPr>
          <w:rFonts w:ascii="Arial" w:hAnsi="Arial"/>
          <w:sz w:val="22"/>
          <w:szCs w:val="22"/>
        </w:rPr>
      </w:pPr>
      <w:r>
        <w:rPr>
          <w:rFonts w:ascii="Arial" w:hAnsi="Arial"/>
          <w:b/>
          <w:sz w:val="22"/>
          <w:szCs w:val="22"/>
        </w:rPr>
        <w:t>Riverwoods, IL</w:t>
      </w:r>
      <w:r>
        <w:rPr>
          <w:rFonts w:ascii="Arial" w:hAnsi="Arial"/>
          <w:sz w:val="22"/>
          <w:szCs w:val="22"/>
        </w:rPr>
        <w:t xml:space="preserve"> – October </w:t>
      </w:r>
      <w:r w:rsidR="0018446B">
        <w:rPr>
          <w:rFonts w:ascii="Arial" w:hAnsi="Arial"/>
          <w:sz w:val="22"/>
          <w:szCs w:val="22"/>
        </w:rPr>
        <w:t>1</w:t>
      </w:r>
      <w:r w:rsidR="00F233A3">
        <w:rPr>
          <w:rFonts w:ascii="Arial" w:hAnsi="Arial"/>
          <w:sz w:val="22"/>
          <w:szCs w:val="22"/>
        </w:rPr>
        <w:t>7</w:t>
      </w:r>
      <w:r>
        <w:rPr>
          <w:rFonts w:ascii="Arial" w:hAnsi="Arial"/>
          <w:sz w:val="22"/>
          <w:szCs w:val="22"/>
        </w:rPr>
        <w:t>, 2008 – www.toolkit.com – As 2008 heads into the fourth quarter, business owners who want to minimize their tax burden for this year and next have a range of options, but also face a considerable amount of uncertainty.</w:t>
      </w:r>
    </w:p>
    <w:p w:rsidR="00134237" w:rsidRDefault="008D6B6B">
      <w:pPr>
        <w:pStyle w:val="NormalWeb"/>
        <w:rPr>
          <w:rFonts w:ascii="Arial" w:hAnsi="Arial"/>
          <w:sz w:val="22"/>
          <w:szCs w:val="22"/>
        </w:rPr>
      </w:pPr>
      <w:r>
        <w:rPr>
          <w:rFonts w:ascii="Arial" w:hAnsi="Arial"/>
          <w:sz w:val="22"/>
          <w:szCs w:val="22"/>
        </w:rPr>
        <w:t xml:space="preserve">"Every tax year, there are actions you can take before year's end, and others you can delay until next year, that will have a positive impact on your tax bill," said John L. Duoba, managing editor of </w:t>
      </w:r>
      <w:r>
        <w:rPr>
          <w:rFonts w:ascii="Arial" w:hAnsi="Arial"/>
          <w:i/>
          <w:iCs/>
          <w:sz w:val="22"/>
          <w:szCs w:val="22"/>
        </w:rPr>
        <w:t>Business Owner's Toolkit</w:t>
      </w:r>
      <w:r w:rsidR="00574500">
        <w:rPr>
          <w:rFonts w:ascii="Arial" w:hAnsi="Arial"/>
          <w:i/>
          <w:iCs/>
          <w:sz w:val="22"/>
          <w:szCs w:val="22"/>
        </w:rPr>
        <w:t xml:space="preserve">, an online destination for </w:t>
      </w:r>
      <w:hyperlink r:id="rId7" w:history="1">
        <w:r w:rsidR="00574500" w:rsidRPr="00574500">
          <w:rPr>
            <w:rStyle w:val="Hyperlink"/>
            <w:rFonts w:ascii="Arial" w:hAnsi="Arial"/>
            <w:i/>
            <w:iCs/>
            <w:sz w:val="22"/>
            <w:szCs w:val="22"/>
          </w:rPr>
          <w:t>small business tips</w:t>
        </w:r>
      </w:hyperlink>
      <w:r>
        <w:rPr>
          <w:rFonts w:ascii="Arial" w:hAnsi="Arial"/>
          <w:sz w:val="22"/>
          <w:szCs w:val="22"/>
        </w:rPr>
        <w:t xml:space="preserve">. "This year is no different." </w:t>
      </w:r>
    </w:p>
    <w:p w:rsidR="008D6B6B" w:rsidRDefault="008D6B6B">
      <w:pPr>
        <w:pStyle w:val="NormalWeb"/>
        <w:rPr>
          <w:rFonts w:ascii="Arial" w:hAnsi="Arial"/>
          <w:sz w:val="22"/>
          <w:szCs w:val="22"/>
        </w:rPr>
      </w:pPr>
      <w:r>
        <w:rPr>
          <w:rFonts w:ascii="Arial" w:hAnsi="Arial"/>
          <w:sz w:val="22"/>
          <w:szCs w:val="22"/>
        </w:rPr>
        <w:t>But the lack of activity coming out of the current Congress has many tax experts scratching their heads. A number of pending measures still require congressional action, so the rules could change between now and when taxes are due in April.</w:t>
      </w:r>
    </w:p>
    <w:p w:rsidR="008D6B6B" w:rsidRDefault="008D6B6B">
      <w:pPr>
        <w:pStyle w:val="NormalWeb"/>
        <w:rPr>
          <w:rFonts w:ascii="Arial" w:hAnsi="Arial"/>
          <w:sz w:val="22"/>
          <w:szCs w:val="22"/>
        </w:rPr>
      </w:pPr>
      <w:r>
        <w:rPr>
          <w:rFonts w:ascii="Arial" w:hAnsi="Arial"/>
          <w:sz w:val="22"/>
          <w:szCs w:val="22"/>
        </w:rPr>
        <w:t>In the meantime, Duoba said business owners shouldn't delay fourth quarter tactics to reduce their tax burden.  These tactics often include reducing your taxable income and tax rate, postponing income, and accelerating deductions. It’s also important to consider the implications of potential tax credits and the affect of Alternative Minimum Tax (AMT) rates.</w:t>
      </w:r>
    </w:p>
    <w:p w:rsidR="008D6B6B" w:rsidRDefault="008D6B6B">
      <w:pPr>
        <w:pStyle w:val="NormalWeb"/>
        <w:rPr>
          <w:rFonts w:ascii="Arial" w:hAnsi="Arial"/>
          <w:sz w:val="22"/>
          <w:szCs w:val="22"/>
        </w:rPr>
      </w:pPr>
      <w:r>
        <w:rPr>
          <w:rFonts w:ascii="Arial" w:hAnsi="Arial"/>
          <w:b/>
          <w:bCs/>
          <w:sz w:val="22"/>
          <w:szCs w:val="22"/>
        </w:rPr>
        <w:t>Reduce Taxable Income</w:t>
      </w:r>
      <w:r>
        <w:rPr>
          <w:rFonts w:ascii="Arial" w:hAnsi="Arial"/>
          <w:b/>
          <w:bCs/>
          <w:sz w:val="22"/>
          <w:szCs w:val="22"/>
        </w:rPr>
        <w:br/>
      </w:r>
      <w:r>
        <w:rPr>
          <w:rFonts w:ascii="Arial" w:hAnsi="Arial"/>
          <w:sz w:val="22"/>
          <w:szCs w:val="22"/>
        </w:rPr>
        <w:t xml:space="preserve">Business owners should take full advantage of all available </w:t>
      </w:r>
      <w:hyperlink r:id="rId8" w:history="1">
        <w:r>
          <w:rPr>
            <w:rStyle w:val="Hyperlink"/>
            <w:rFonts w:ascii="Arial" w:hAnsi="Arial"/>
            <w:sz w:val="22"/>
            <w:szCs w:val="22"/>
          </w:rPr>
          <w:t>tax deductions</w:t>
        </w:r>
      </w:hyperlink>
      <w:r>
        <w:rPr>
          <w:rFonts w:ascii="Arial" w:hAnsi="Arial"/>
          <w:sz w:val="22"/>
          <w:szCs w:val="22"/>
        </w:rPr>
        <w:t>, both business and personal.  They shouldn't overlook the possibility of purchasing health insurance, investing in their retirement, or providing perks like a company car through their business.</w:t>
      </w:r>
    </w:p>
    <w:p w:rsidR="008D6B6B" w:rsidRDefault="008D6B6B">
      <w:pPr>
        <w:pStyle w:val="NormalWeb"/>
        <w:rPr>
          <w:rFonts w:ascii="Arial" w:hAnsi="Arial"/>
          <w:sz w:val="22"/>
          <w:szCs w:val="22"/>
        </w:rPr>
      </w:pPr>
      <w:r>
        <w:rPr>
          <w:rFonts w:ascii="Arial" w:hAnsi="Arial"/>
          <w:b/>
          <w:bCs/>
          <w:sz w:val="22"/>
          <w:szCs w:val="22"/>
        </w:rPr>
        <w:t xml:space="preserve">Reduce </w:t>
      </w:r>
      <w:r w:rsidR="00B27AEE">
        <w:rPr>
          <w:rFonts w:ascii="Arial" w:hAnsi="Arial"/>
          <w:b/>
          <w:bCs/>
          <w:sz w:val="22"/>
          <w:szCs w:val="22"/>
        </w:rPr>
        <w:t>the</w:t>
      </w:r>
      <w:r>
        <w:rPr>
          <w:rFonts w:ascii="Arial" w:hAnsi="Arial"/>
          <w:b/>
          <w:bCs/>
          <w:sz w:val="22"/>
          <w:szCs w:val="22"/>
        </w:rPr>
        <w:t xml:space="preserve"> Tax Rate</w:t>
      </w:r>
      <w:r>
        <w:rPr>
          <w:rFonts w:ascii="Arial" w:hAnsi="Arial"/>
          <w:b/>
          <w:bCs/>
          <w:sz w:val="22"/>
          <w:szCs w:val="22"/>
        </w:rPr>
        <w:br/>
      </w:r>
      <w:r>
        <w:rPr>
          <w:rFonts w:ascii="Arial" w:hAnsi="Arial"/>
          <w:bCs/>
          <w:sz w:val="22"/>
          <w:szCs w:val="22"/>
        </w:rPr>
        <w:t xml:space="preserve">Business owners can </w:t>
      </w:r>
      <w:r>
        <w:rPr>
          <w:rFonts w:ascii="Arial" w:hAnsi="Arial"/>
          <w:sz w:val="22"/>
          <w:szCs w:val="22"/>
        </w:rPr>
        <w:t xml:space="preserve">target a lower tax bracket by reducing income reported in the current tax year. If they're operating their business as a sole proprietorship, they can </w:t>
      </w:r>
      <w:hyperlink r:id="rId9" w:history="1">
        <w:r>
          <w:rPr>
            <w:rStyle w:val="Hyperlink"/>
            <w:rFonts w:ascii="Arial" w:hAnsi="Arial"/>
            <w:sz w:val="22"/>
            <w:szCs w:val="22"/>
          </w:rPr>
          <w:t>incorporate their business</w:t>
        </w:r>
      </w:hyperlink>
      <w:r>
        <w:rPr>
          <w:rFonts w:ascii="Arial" w:hAnsi="Arial"/>
          <w:sz w:val="22"/>
          <w:szCs w:val="22"/>
        </w:rPr>
        <w:t xml:space="preserve"> and deploy tax strategies that reduce personal tax liability. According to Karen Nathan, author of the book "Incorporate! An Easy Step-By-Step Plan for Entrepreneurs" and Director of Business Development for incorporation services leader BizFilings.com, many sole proprietors and partners incorporate their businesses to obtain tax advantages related to operating as a corporation.  </w:t>
      </w:r>
    </w:p>
    <w:p w:rsidR="008D6B6B" w:rsidRDefault="008D6B6B">
      <w:pPr>
        <w:pStyle w:val="NormalWeb"/>
        <w:rPr>
          <w:rFonts w:ascii="Arial" w:hAnsi="Arial"/>
          <w:sz w:val="22"/>
          <w:szCs w:val="22"/>
        </w:rPr>
      </w:pPr>
      <w:r>
        <w:rPr>
          <w:rFonts w:ascii="Arial" w:hAnsi="Arial"/>
          <w:b/>
          <w:bCs/>
          <w:sz w:val="22"/>
          <w:szCs w:val="22"/>
        </w:rPr>
        <w:t>Postpone Income</w:t>
      </w:r>
      <w:r>
        <w:rPr>
          <w:rFonts w:ascii="Arial" w:hAnsi="Arial"/>
          <w:b/>
          <w:bCs/>
          <w:sz w:val="22"/>
          <w:szCs w:val="22"/>
        </w:rPr>
        <w:br/>
      </w:r>
      <w:r>
        <w:rPr>
          <w:rFonts w:ascii="Arial" w:hAnsi="Arial"/>
          <w:sz w:val="22"/>
          <w:szCs w:val="22"/>
        </w:rPr>
        <w:t xml:space="preserve">To reduce 2008 income, business owners can delay year-end billings until late enough in the year so that payments won’t come in until 2009.  If operating their business as a </w:t>
      </w:r>
      <w:hyperlink r:id="rId10" w:tgtFrame="_blank" w:history="1">
        <w:r>
          <w:rPr>
            <w:rStyle w:val="Hyperlink"/>
            <w:rFonts w:ascii="Arial" w:hAnsi="Arial"/>
            <w:sz w:val="22"/>
            <w:szCs w:val="22"/>
          </w:rPr>
          <w:t>C corporation</w:t>
        </w:r>
      </w:hyperlink>
      <w:r>
        <w:rPr>
          <w:rFonts w:ascii="Arial" w:hAnsi="Arial"/>
          <w:sz w:val="22"/>
          <w:szCs w:val="22"/>
        </w:rPr>
        <w:t>, owners can arrange for dividends to be paid after the end of the year.  </w:t>
      </w:r>
    </w:p>
    <w:p w:rsidR="008D6B6B" w:rsidRDefault="008D6B6B">
      <w:pPr>
        <w:pStyle w:val="NormalWeb"/>
        <w:rPr>
          <w:rFonts w:ascii="Arial" w:hAnsi="Arial"/>
          <w:sz w:val="22"/>
          <w:szCs w:val="22"/>
        </w:rPr>
      </w:pPr>
      <w:r>
        <w:rPr>
          <w:rFonts w:ascii="Arial" w:hAnsi="Arial"/>
          <w:b/>
          <w:bCs/>
          <w:sz w:val="22"/>
          <w:szCs w:val="22"/>
        </w:rPr>
        <w:lastRenderedPageBreak/>
        <w:t>Accelerate Deductions</w:t>
      </w:r>
      <w:r>
        <w:rPr>
          <w:rFonts w:ascii="Arial" w:hAnsi="Arial"/>
          <w:b/>
          <w:bCs/>
          <w:sz w:val="22"/>
          <w:szCs w:val="22"/>
        </w:rPr>
        <w:br/>
      </w:r>
      <w:r>
        <w:rPr>
          <w:rFonts w:ascii="Arial" w:hAnsi="Arial"/>
          <w:bCs/>
          <w:sz w:val="22"/>
          <w:szCs w:val="22"/>
        </w:rPr>
        <w:t xml:space="preserve">Business owners can </w:t>
      </w:r>
      <w:r>
        <w:rPr>
          <w:rFonts w:ascii="Arial" w:hAnsi="Arial"/>
          <w:sz w:val="22"/>
          <w:szCs w:val="22"/>
        </w:rPr>
        <w:t>purchase equipment and other large ticket items in 2008.  They should also consider expensing the cost of new equipment, rather than depreciating it. Prepaying deductible business expenses, including rent, interest, taxes, and insurance also increases deductions.</w:t>
      </w:r>
    </w:p>
    <w:p w:rsidR="008D6B6B" w:rsidRDefault="008D6B6B">
      <w:pPr>
        <w:pStyle w:val="NormalWeb"/>
        <w:rPr>
          <w:rFonts w:ascii="Arial" w:hAnsi="Arial"/>
          <w:sz w:val="22"/>
          <w:szCs w:val="22"/>
        </w:rPr>
      </w:pPr>
      <w:r>
        <w:rPr>
          <w:rFonts w:ascii="Arial" w:hAnsi="Arial"/>
          <w:b/>
          <w:bCs/>
          <w:sz w:val="22"/>
          <w:szCs w:val="22"/>
        </w:rPr>
        <w:t>Be Prepared to Claim Tax Credits</w:t>
      </w:r>
      <w:r>
        <w:rPr>
          <w:rFonts w:ascii="Arial" w:hAnsi="Arial"/>
          <w:b/>
          <w:bCs/>
          <w:sz w:val="22"/>
          <w:szCs w:val="22"/>
        </w:rPr>
        <w:br/>
      </w:r>
      <w:r>
        <w:rPr>
          <w:rFonts w:ascii="Arial" w:hAnsi="Arial"/>
          <w:bCs/>
          <w:sz w:val="22"/>
          <w:szCs w:val="22"/>
        </w:rPr>
        <w:t xml:space="preserve">Business owners need to </w:t>
      </w:r>
      <w:r>
        <w:rPr>
          <w:rFonts w:ascii="Arial" w:hAnsi="Arial"/>
          <w:sz w:val="22"/>
          <w:szCs w:val="22"/>
        </w:rPr>
        <w:t xml:space="preserve">be aware of </w:t>
      </w:r>
      <w:hyperlink r:id="rId11" w:history="1">
        <w:r>
          <w:rPr>
            <w:rStyle w:val="Hyperlink"/>
            <w:rFonts w:ascii="Arial" w:hAnsi="Arial"/>
            <w:sz w:val="22"/>
            <w:szCs w:val="22"/>
          </w:rPr>
          <w:t>t</w:t>
        </w:r>
        <w:r w:rsidR="003178F0">
          <w:rPr>
            <w:rStyle w:val="Hyperlink"/>
            <w:rFonts w:ascii="Arial" w:hAnsi="Arial"/>
            <w:sz w:val="22"/>
            <w:szCs w:val="22"/>
          </w:rPr>
          <w:t xml:space="preserve">ax credits they may be eligible </w:t>
        </w:r>
        <w:r>
          <w:rPr>
            <w:rStyle w:val="Hyperlink"/>
            <w:rFonts w:ascii="Arial" w:hAnsi="Arial"/>
            <w:sz w:val="22"/>
            <w:szCs w:val="22"/>
          </w:rPr>
          <w:t xml:space="preserve">for </w:t>
        </w:r>
      </w:hyperlink>
      <w:r>
        <w:rPr>
          <w:rFonts w:ascii="Arial" w:hAnsi="Arial"/>
          <w:sz w:val="22"/>
          <w:szCs w:val="22"/>
        </w:rPr>
        <w:t>and meet those deduction requirements in 2008. When they’re available, tax credits are generally better than deductions because credits are subtracted directly from the tax bill. </w:t>
      </w:r>
    </w:p>
    <w:p w:rsidR="008D6B6B" w:rsidRDefault="008D6B6B">
      <w:pPr>
        <w:pStyle w:val="NormalWeb"/>
        <w:rPr>
          <w:rFonts w:ascii="Arial" w:hAnsi="Arial"/>
          <w:sz w:val="22"/>
          <w:szCs w:val="22"/>
        </w:rPr>
      </w:pPr>
      <w:r>
        <w:rPr>
          <w:rFonts w:ascii="Arial" w:hAnsi="Arial"/>
          <w:b/>
          <w:bCs/>
          <w:sz w:val="22"/>
          <w:szCs w:val="22"/>
        </w:rPr>
        <w:t>Consider Alternative Minimum Tax</w:t>
      </w:r>
      <w:r>
        <w:rPr>
          <w:rFonts w:ascii="Arial" w:hAnsi="Arial"/>
          <w:b/>
          <w:bCs/>
          <w:sz w:val="22"/>
          <w:szCs w:val="22"/>
        </w:rPr>
        <w:br/>
      </w:r>
      <w:r>
        <w:rPr>
          <w:rFonts w:ascii="Arial" w:hAnsi="Arial"/>
          <w:sz w:val="22"/>
          <w:szCs w:val="22"/>
        </w:rPr>
        <w:t>If applicable, AMT can play havoc with tax planning. If an owner’s AMT liability and regular tax liability tend to be approximately equal from year to year, the best bet may be to maintain this stability. If deductions are not so evenly spaced and an owner tends to have great fluctuations in income from year to year, they may be able to shift some AMT-triggering items from an AMT year to a non-AMT year.</w:t>
      </w:r>
    </w:p>
    <w:p w:rsidR="008D6B6B" w:rsidRPr="00B87E62" w:rsidRDefault="008D6B6B" w:rsidP="00B87E62">
      <w:pPr>
        <w:pStyle w:val="NormalWeb"/>
        <w:rPr>
          <w:rFonts w:ascii="Arial" w:hAnsi="Arial"/>
          <w:sz w:val="22"/>
          <w:szCs w:val="22"/>
        </w:rPr>
      </w:pPr>
      <w:r>
        <w:rPr>
          <w:rFonts w:ascii="Arial" w:hAnsi="Arial"/>
          <w:sz w:val="22"/>
          <w:szCs w:val="22"/>
        </w:rPr>
        <w:t>"It’s a good idea for small business owners to discuss these strategies with their accountant or tax professional," said Troy Janisch, Publisher of the Business Owner's Toolkit. "They can help predict your taxable income and determine strategies that will work best."  In particular, he said it is important to identify and apply strategies now that need to be implemented by December 31.</w:t>
      </w:r>
    </w:p>
    <w:p w:rsidR="008D6B6B" w:rsidRDefault="008D6B6B">
      <w:pPr>
        <w:shd w:val="clear" w:color="auto" w:fill="FFFFFF"/>
        <w:spacing w:line="288" w:lineRule="atLeast"/>
        <w:rPr>
          <w:rFonts w:ascii="Arial" w:hAnsi="Arial" w:cs="Arial"/>
          <w:b/>
          <w:bCs/>
          <w:sz w:val="22"/>
          <w:szCs w:val="22"/>
        </w:rPr>
      </w:pPr>
      <w:r>
        <w:rPr>
          <w:rFonts w:ascii="Arial" w:hAnsi="Arial"/>
          <w:b/>
          <w:sz w:val="22"/>
          <w:szCs w:val="22"/>
        </w:rPr>
        <w:t>ABOUT BUSINESS OWNER'S TOOLKIT</w:t>
      </w:r>
      <w:r>
        <w:rPr>
          <w:rFonts w:ascii="Arial" w:hAnsi="Arial"/>
          <w:b/>
          <w:sz w:val="22"/>
          <w:szCs w:val="22"/>
        </w:rPr>
        <w:br/>
      </w:r>
      <w:r>
        <w:rPr>
          <w:rFonts w:ascii="Arial" w:hAnsi="Arial"/>
          <w:sz w:val="22"/>
          <w:szCs w:val="22"/>
        </w:rPr>
        <w:t>Business Owner's Toolkit (www.toolkit.com) provides total know-how for small business. The Toolkit website helps business owners start, run, and grow a successful small business by providing more than 5,000 pages of free step-by-step advice, instruction, and ready-to-use business templates. The site also offers free business webinars, business news and one-to-one advice to business owners by email. The Business Owner's Toolkit also partners with StartupNation to provide free entrepreneurial advice via a national syndicated radio show.</w:t>
      </w:r>
      <w:r>
        <w:rPr>
          <w:rFonts w:ascii="Arial" w:hAnsi="Arial"/>
          <w:sz w:val="22"/>
          <w:szCs w:val="22"/>
        </w:rPr>
        <w:br/>
      </w:r>
      <w:r>
        <w:rPr>
          <w:rFonts w:ascii="Arial" w:hAnsi="Arial"/>
          <w:sz w:val="22"/>
          <w:szCs w:val="22"/>
        </w:rPr>
        <w:br/>
        <w:t xml:space="preserve">The Business Owner's Toolkit is a part of Wolters Kluwer, a leading multinational publisher and information services company. Wolters Kluwer has annual revenues (2007) of €3.4 billion, maintains operations in over 33 countries across Europe, </w:t>
      </w:r>
      <w:smartTag w:uri="urn:schemas-microsoft-com:office:smarttags" w:element="place">
        <w:r>
          <w:rPr>
            <w:rFonts w:ascii="Arial" w:hAnsi="Arial"/>
            <w:sz w:val="22"/>
            <w:szCs w:val="22"/>
          </w:rPr>
          <w:t>North America</w:t>
        </w:r>
      </w:smartTag>
      <w:r>
        <w:rPr>
          <w:rFonts w:ascii="Arial" w:hAnsi="Arial"/>
          <w:sz w:val="22"/>
          <w:szCs w:val="22"/>
        </w:rPr>
        <w:t>, and Asia Pacific and employs approximately 19,500 people worldwide.</w:t>
      </w:r>
    </w:p>
    <w:p w:rsidR="008D6B6B" w:rsidRDefault="008D6B6B">
      <w:pPr>
        <w:shd w:val="clear" w:color="auto" w:fill="FFFFFF"/>
        <w:spacing w:line="288" w:lineRule="atLeast"/>
        <w:rPr>
          <w:rFonts w:ascii="Arial" w:hAnsi="Arial" w:cs="Arial"/>
          <w:sz w:val="22"/>
          <w:szCs w:val="22"/>
        </w:rPr>
      </w:pPr>
    </w:p>
    <w:p w:rsidR="008D6B6B" w:rsidRDefault="008D6B6B">
      <w:pPr>
        <w:shd w:val="clear" w:color="auto" w:fill="FFFFFF"/>
        <w:spacing w:line="288" w:lineRule="atLeast"/>
        <w:rPr>
          <w:rFonts w:ascii="Arial" w:hAnsi="Arial" w:cs="Arial"/>
          <w:sz w:val="20"/>
        </w:rPr>
      </w:pPr>
    </w:p>
    <w:p w:rsidR="008D6B6B" w:rsidRDefault="008D6B6B">
      <w:pPr>
        <w:pStyle w:val="NormalWeb"/>
        <w:rPr>
          <w:rFonts w:ascii="Arial" w:hAnsi="Arial"/>
          <w:sz w:val="22"/>
          <w:szCs w:val="22"/>
        </w:rPr>
      </w:pPr>
      <w:bookmarkStart w:id="0" w:name="OLE_LINK3"/>
      <w:bookmarkStart w:id="1" w:name="OLE_LINK4"/>
    </w:p>
    <w:bookmarkEnd w:id="0"/>
    <w:bookmarkEnd w:id="1"/>
    <w:p w:rsidR="008D6B6B" w:rsidRDefault="008D6B6B">
      <w:pPr>
        <w:rPr>
          <w:rFonts w:ascii="Arial" w:hAnsi="Arial"/>
          <w:sz w:val="22"/>
        </w:rPr>
      </w:pPr>
    </w:p>
    <w:p w:rsidR="008D6B6B" w:rsidRDefault="008D6B6B">
      <w:pPr>
        <w:jc w:val="center"/>
        <w:rPr>
          <w:rFonts w:ascii="Arial" w:hAnsi="Arial"/>
          <w:sz w:val="22"/>
        </w:rPr>
      </w:pPr>
      <w:r>
        <w:rPr>
          <w:rFonts w:ascii="Arial" w:hAnsi="Arial"/>
          <w:sz w:val="22"/>
        </w:rPr>
        <w:t>###</w:t>
      </w:r>
    </w:p>
    <w:p w:rsidR="008D6B6B" w:rsidRDefault="008D6B6B">
      <w:pPr>
        <w:rPr>
          <w:rFonts w:ascii="Arial" w:hAnsi="Arial"/>
        </w:rPr>
      </w:pPr>
    </w:p>
    <w:sectPr w:rsidR="008D6B6B" w:rsidSect="003A4645">
      <w:pgSz w:w="12240" w:h="15840"/>
      <w:pgMar w:top="1440" w:right="1440" w:bottom="1152"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CCD" w:rsidRDefault="00290CCD">
      <w:r>
        <w:separator/>
      </w:r>
    </w:p>
  </w:endnote>
  <w:endnote w:type="continuationSeparator" w:id="1">
    <w:p w:rsidR="00290CCD" w:rsidRDefault="00290CC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CCD" w:rsidRDefault="00290CCD">
      <w:r>
        <w:separator/>
      </w:r>
    </w:p>
  </w:footnote>
  <w:footnote w:type="continuationSeparator" w:id="1">
    <w:p w:rsidR="00290CCD" w:rsidRDefault="00290C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A2246"/>
    <w:multiLevelType w:val="hybridMultilevel"/>
    <w:tmpl w:val="04A69332"/>
    <w:lvl w:ilvl="0" w:tplc="EA5205E0">
      <w:start w:val="1"/>
      <w:numFmt w:val="bullet"/>
      <w:lvlText w:val=""/>
      <w:lvlJc w:val="left"/>
      <w:pPr>
        <w:tabs>
          <w:tab w:val="num" w:pos="720"/>
        </w:tabs>
        <w:ind w:left="720" w:hanging="360"/>
      </w:pPr>
      <w:rPr>
        <w:rFonts w:ascii="Wingdings" w:hAnsi="Wingdings" w:hint="default"/>
      </w:rPr>
    </w:lvl>
    <w:lvl w:ilvl="1" w:tplc="CB343D38" w:tentative="1">
      <w:start w:val="1"/>
      <w:numFmt w:val="bullet"/>
      <w:lvlText w:val="o"/>
      <w:lvlJc w:val="left"/>
      <w:pPr>
        <w:tabs>
          <w:tab w:val="num" w:pos="1440"/>
        </w:tabs>
        <w:ind w:left="1440" w:hanging="360"/>
      </w:pPr>
      <w:rPr>
        <w:rFonts w:ascii="Courier New" w:hAnsi="Courier New" w:hint="default"/>
      </w:rPr>
    </w:lvl>
    <w:lvl w:ilvl="2" w:tplc="091E35F4" w:tentative="1">
      <w:start w:val="1"/>
      <w:numFmt w:val="bullet"/>
      <w:lvlText w:val=""/>
      <w:lvlJc w:val="left"/>
      <w:pPr>
        <w:tabs>
          <w:tab w:val="num" w:pos="2160"/>
        </w:tabs>
        <w:ind w:left="2160" w:hanging="360"/>
      </w:pPr>
      <w:rPr>
        <w:rFonts w:ascii="Wingdings" w:hAnsi="Wingdings" w:hint="default"/>
      </w:rPr>
    </w:lvl>
    <w:lvl w:ilvl="3" w:tplc="18141072" w:tentative="1">
      <w:start w:val="1"/>
      <w:numFmt w:val="bullet"/>
      <w:lvlText w:val=""/>
      <w:lvlJc w:val="left"/>
      <w:pPr>
        <w:tabs>
          <w:tab w:val="num" w:pos="2880"/>
        </w:tabs>
        <w:ind w:left="2880" w:hanging="360"/>
      </w:pPr>
      <w:rPr>
        <w:rFonts w:ascii="Symbol" w:hAnsi="Symbol" w:hint="default"/>
      </w:rPr>
    </w:lvl>
    <w:lvl w:ilvl="4" w:tplc="5FFCAAF4" w:tentative="1">
      <w:start w:val="1"/>
      <w:numFmt w:val="bullet"/>
      <w:lvlText w:val="o"/>
      <w:lvlJc w:val="left"/>
      <w:pPr>
        <w:tabs>
          <w:tab w:val="num" w:pos="3600"/>
        </w:tabs>
        <w:ind w:left="3600" w:hanging="360"/>
      </w:pPr>
      <w:rPr>
        <w:rFonts w:ascii="Courier New" w:hAnsi="Courier New" w:hint="default"/>
      </w:rPr>
    </w:lvl>
    <w:lvl w:ilvl="5" w:tplc="C7E4095E" w:tentative="1">
      <w:start w:val="1"/>
      <w:numFmt w:val="bullet"/>
      <w:lvlText w:val=""/>
      <w:lvlJc w:val="left"/>
      <w:pPr>
        <w:tabs>
          <w:tab w:val="num" w:pos="4320"/>
        </w:tabs>
        <w:ind w:left="4320" w:hanging="360"/>
      </w:pPr>
      <w:rPr>
        <w:rFonts w:ascii="Wingdings" w:hAnsi="Wingdings" w:hint="default"/>
      </w:rPr>
    </w:lvl>
    <w:lvl w:ilvl="6" w:tplc="D780C2FE" w:tentative="1">
      <w:start w:val="1"/>
      <w:numFmt w:val="bullet"/>
      <w:lvlText w:val=""/>
      <w:lvlJc w:val="left"/>
      <w:pPr>
        <w:tabs>
          <w:tab w:val="num" w:pos="5040"/>
        </w:tabs>
        <w:ind w:left="5040" w:hanging="360"/>
      </w:pPr>
      <w:rPr>
        <w:rFonts w:ascii="Symbol" w:hAnsi="Symbol" w:hint="default"/>
      </w:rPr>
    </w:lvl>
    <w:lvl w:ilvl="7" w:tplc="25CA0AE0" w:tentative="1">
      <w:start w:val="1"/>
      <w:numFmt w:val="bullet"/>
      <w:lvlText w:val="o"/>
      <w:lvlJc w:val="left"/>
      <w:pPr>
        <w:tabs>
          <w:tab w:val="num" w:pos="5760"/>
        </w:tabs>
        <w:ind w:left="5760" w:hanging="360"/>
      </w:pPr>
      <w:rPr>
        <w:rFonts w:ascii="Courier New" w:hAnsi="Courier New" w:hint="default"/>
      </w:rPr>
    </w:lvl>
    <w:lvl w:ilvl="8" w:tplc="A59E0F0C" w:tentative="1">
      <w:start w:val="1"/>
      <w:numFmt w:val="bullet"/>
      <w:lvlText w:val=""/>
      <w:lvlJc w:val="left"/>
      <w:pPr>
        <w:tabs>
          <w:tab w:val="num" w:pos="6480"/>
        </w:tabs>
        <w:ind w:left="6480" w:hanging="360"/>
      </w:pPr>
      <w:rPr>
        <w:rFonts w:ascii="Wingdings" w:hAnsi="Wingdings" w:hint="default"/>
      </w:rPr>
    </w:lvl>
  </w:abstractNum>
  <w:abstractNum w:abstractNumId="1">
    <w:nsid w:val="23A35587"/>
    <w:multiLevelType w:val="hybridMultilevel"/>
    <w:tmpl w:val="D11C9D66"/>
    <w:lvl w:ilvl="0" w:tplc="4258B762">
      <w:start w:val="1"/>
      <w:numFmt w:val="bullet"/>
      <w:lvlText w:val=""/>
      <w:lvlJc w:val="left"/>
      <w:pPr>
        <w:tabs>
          <w:tab w:val="num" w:pos="1440"/>
        </w:tabs>
        <w:ind w:left="1440" w:hanging="360"/>
      </w:pPr>
      <w:rPr>
        <w:rFonts w:ascii="Wingdings" w:hAnsi="Wingdings" w:hint="default"/>
      </w:rPr>
    </w:lvl>
    <w:lvl w:ilvl="1" w:tplc="AE16069A" w:tentative="1">
      <w:start w:val="1"/>
      <w:numFmt w:val="bullet"/>
      <w:lvlText w:val="o"/>
      <w:lvlJc w:val="left"/>
      <w:pPr>
        <w:tabs>
          <w:tab w:val="num" w:pos="2160"/>
        </w:tabs>
        <w:ind w:left="2160" w:hanging="360"/>
      </w:pPr>
      <w:rPr>
        <w:rFonts w:ascii="Courier New" w:hAnsi="Courier New" w:hint="default"/>
      </w:rPr>
    </w:lvl>
    <w:lvl w:ilvl="2" w:tplc="BA4209C8" w:tentative="1">
      <w:start w:val="1"/>
      <w:numFmt w:val="bullet"/>
      <w:lvlText w:val=""/>
      <w:lvlJc w:val="left"/>
      <w:pPr>
        <w:tabs>
          <w:tab w:val="num" w:pos="2880"/>
        </w:tabs>
        <w:ind w:left="2880" w:hanging="360"/>
      </w:pPr>
      <w:rPr>
        <w:rFonts w:ascii="Wingdings" w:hAnsi="Wingdings" w:hint="default"/>
      </w:rPr>
    </w:lvl>
    <w:lvl w:ilvl="3" w:tplc="95DED32C" w:tentative="1">
      <w:start w:val="1"/>
      <w:numFmt w:val="bullet"/>
      <w:lvlText w:val=""/>
      <w:lvlJc w:val="left"/>
      <w:pPr>
        <w:tabs>
          <w:tab w:val="num" w:pos="3600"/>
        </w:tabs>
        <w:ind w:left="3600" w:hanging="360"/>
      </w:pPr>
      <w:rPr>
        <w:rFonts w:ascii="Symbol" w:hAnsi="Symbol" w:hint="default"/>
      </w:rPr>
    </w:lvl>
    <w:lvl w:ilvl="4" w:tplc="FED26B94" w:tentative="1">
      <w:start w:val="1"/>
      <w:numFmt w:val="bullet"/>
      <w:lvlText w:val="o"/>
      <w:lvlJc w:val="left"/>
      <w:pPr>
        <w:tabs>
          <w:tab w:val="num" w:pos="4320"/>
        </w:tabs>
        <w:ind w:left="4320" w:hanging="360"/>
      </w:pPr>
      <w:rPr>
        <w:rFonts w:ascii="Courier New" w:hAnsi="Courier New" w:hint="default"/>
      </w:rPr>
    </w:lvl>
    <w:lvl w:ilvl="5" w:tplc="69EE4E6E" w:tentative="1">
      <w:start w:val="1"/>
      <w:numFmt w:val="bullet"/>
      <w:lvlText w:val=""/>
      <w:lvlJc w:val="left"/>
      <w:pPr>
        <w:tabs>
          <w:tab w:val="num" w:pos="5040"/>
        </w:tabs>
        <w:ind w:left="5040" w:hanging="360"/>
      </w:pPr>
      <w:rPr>
        <w:rFonts w:ascii="Wingdings" w:hAnsi="Wingdings" w:hint="default"/>
      </w:rPr>
    </w:lvl>
    <w:lvl w:ilvl="6" w:tplc="2E329248" w:tentative="1">
      <w:start w:val="1"/>
      <w:numFmt w:val="bullet"/>
      <w:lvlText w:val=""/>
      <w:lvlJc w:val="left"/>
      <w:pPr>
        <w:tabs>
          <w:tab w:val="num" w:pos="5760"/>
        </w:tabs>
        <w:ind w:left="5760" w:hanging="360"/>
      </w:pPr>
      <w:rPr>
        <w:rFonts w:ascii="Symbol" w:hAnsi="Symbol" w:hint="default"/>
      </w:rPr>
    </w:lvl>
    <w:lvl w:ilvl="7" w:tplc="7416D0FC" w:tentative="1">
      <w:start w:val="1"/>
      <w:numFmt w:val="bullet"/>
      <w:lvlText w:val="o"/>
      <w:lvlJc w:val="left"/>
      <w:pPr>
        <w:tabs>
          <w:tab w:val="num" w:pos="6480"/>
        </w:tabs>
        <w:ind w:left="6480" w:hanging="360"/>
      </w:pPr>
      <w:rPr>
        <w:rFonts w:ascii="Courier New" w:hAnsi="Courier New" w:hint="default"/>
      </w:rPr>
    </w:lvl>
    <w:lvl w:ilvl="8" w:tplc="EE8E53DA" w:tentative="1">
      <w:start w:val="1"/>
      <w:numFmt w:val="bullet"/>
      <w:lvlText w:val=""/>
      <w:lvlJc w:val="left"/>
      <w:pPr>
        <w:tabs>
          <w:tab w:val="num" w:pos="7200"/>
        </w:tabs>
        <w:ind w:left="7200" w:hanging="360"/>
      </w:pPr>
      <w:rPr>
        <w:rFonts w:ascii="Wingdings" w:hAnsi="Wingdings" w:hint="default"/>
      </w:rPr>
    </w:lvl>
  </w:abstractNum>
  <w:abstractNum w:abstractNumId="2">
    <w:nsid w:val="622275DC"/>
    <w:multiLevelType w:val="multilevel"/>
    <w:tmpl w:val="7DEC4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769614C"/>
    <w:multiLevelType w:val="hybridMultilevel"/>
    <w:tmpl w:val="DC8A3DA2"/>
    <w:lvl w:ilvl="0" w:tplc="8EE6A68A">
      <w:start w:val="1"/>
      <w:numFmt w:val="bullet"/>
      <w:lvlText w:val=""/>
      <w:lvlJc w:val="left"/>
      <w:pPr>
        <w:tabs>
          <w:tab w:val="num" w:pos="1440"/>
        </w:tabs>
        <w:ind w:left="1440" w:hanging="360"/>
      </w:pPr>
      <w:rPr>
        <w:rFonts w:ascii="Symbol" w:hAnsi="Symbol" w:hint="default"/>
      </w:rPr>
    </w:lvl>
    <w:lvl w:ilvl="1" w:tplc="6EC61792" w:tentative="1">
      <w:start w:val="1"/>
      <w:numFmt w:val="bullet"/>
      <w:lvlText w:val="o"/>
      <w:lvlJc w:val="left"/>
      <w:pPr>
        <w:tabs>
          <w:tab w:val="num" w:pos="2160"/>
        </w:tabs>
        <w:ind w:left="2160" w:hanging="360"/>
      </w:pPr>
      <w:rPr>
        <w:rFonts w:ascii="Courier New" w:hAnsi="Courier New" w:hint="default"/>
      </w:rPr>
    </w:lvl>
    <w:lvl w:ilvl="2" w:tplc="9DEC0504">
      <w:start w:val="1"/>
      <w:numFmt w:val="bullet"/>
      <w:lvlText w:val=""/>
      <w:lvlJc w:val="left"/>
      <w:pPr>
        <w:tabs>
          <w:tab w:val="num" w:pos="2880"/>
        </w:tabs>
        <w:ind w:left="2880" w:hanging="360"/>
      </w:pPr>
      <w:rPr>
        <w:rFonts w:ascii="Wingdings" w:hAnsi="Wingdings" w:hint="default"/>
      </w:rPr>
    </w:lvl>
    <w:lvl w:ilvl="3" w:tplc="D3AE5534" w:tentative="1">
      <w:start w:val="1"/>
      <w:numFmt w:val="bullet"/>
      <w:lvlText w:val=""/>
      <w:lvlJc w:val="left"/>
      <w:pPr>
        <w:tabs>
          <w:tab w:val="num" w:pos="3600"/>
        </w:tabs>
        <w:ind w:left="3600" w:hanging="360"/>
      </w:pPr>
      <w:rPr>
        <w:rFonts w:ascii="Symbol" w:hAnsi="Symbol" w:hint="default"/>
      </w:rPr>
    </w:lvl>
    <w:lvl w:ilvl="4" w:tplc="32EAC7B4" w:tentative="1">
      <w:start w:val="1"/>
      <w:numFmt w:val="bullet"/>
      <w:lvlText w:val="o"/>
      <w:lvlJc w:val="left"/>
      <w:pPr>
        <w:tabs>
          <w:tab w:val="num" w:pos="4320"/>
        </w:tabs>
        <w:ind w:left="4320" w:hanging="360"/>
      </w:pPr>
      <w:rPr>
        <w:rFonts w:ascii="Courier New" w:hAnsi="Courier New" w:hint="default"/>
      </w:rPr>
    </w:lvl>
    <w:lvl w:ilvl="5" w:tplc="B846D1CA" w:tentative="1">
      <w:start w:val="1"/>
      <w:numFmt w:val="bullet"/>
      <w:lvlText w:val=""/>
      <w:lvlJc w:val="left"/>
      <w:pPr>
        <w:tabs>
          <w:tab w:val="num" w:pos="5040"/>
        </w:tabs>
        <w:ind w:left="5040" w:hanging="360"/>
      </w:pPr>
      <w:rPr>
        <w:rFonts w:ascii="Wingdings" w:hAnsi="Wingdings" w:hint="default"/>
      </w:rPr>
    </w:lvl>
    <w:lvl w:ilvl="6" w:tplc="E41808F4" w:tentative="1">
      <w:start w:val="1"/>
      <w:numFmt w:val="bullet"/>
      <w:lvlText w:val=""/>
      <w:lvlJc w:val="left"/>
      <w:pPr>
        <w:tabs>
          <w:tab w:val="num" w:pos="5760"/>
        </w:tabs>
        <w:ind w:left="5760" w:hanging="360"/>
      </w:pPr>
      <w:rPr>
        <w:rFonts w:ascii="Symbol" w:hAnsi="Symbol" w:hint="default"/>
      </w:rPr>
    </w:lvl>
    <w:lvl w:ilvl="7" w:tplc="B7BEA4CC" w:tentative="1">
      <w:start w:val="1"/>
      <w:numFmt w:val="bullet"/>
      <w:lvlText w:val="o"/>
      <w:lvlJc w:val="left"/>
      <w:pPr>
        <w:tabs>
          <w:tab w:val="num" w:pos="6480"/>
        </w:tabs>
        <w:ind w:left="6480" w:hanging="360"/>
      </w:pPr>
      <w:rPr>
        <w:rFonts w:ascii="Courier New" w:hAnsi="Courier New" w:hint="default"/>
      </w:rPr>
    </w:lvl>
    <w:lvl w:ilvl="8" w:tplc="CFCAFFC0" w:tentative="1">
      <w:start w:val="1"/>
      <w:numFmt w:val="bullet"/>
      <w:lvlText w:val=""/>
      <w:lvlJc w:val="left"/>
      <w:pPr>
        <w:tabs>
          <w:tab w:val="num" w:pos="7200"/>
        </w:tabs>
        <w:ind w:left="7200" w:hanging="360"/>
      </w:pPr>
      <w:rPr>
        <w:rFonts w:ascii="Wingdings" w:hAnsi="Wingdings" w:hint="default"/>
      </w:rPr>
    </w:lvl>
  </w:abstractNum>
  <w:abstractNum w:abstractNumId="4">
    <w:nsid w:val="74727D95"/>
    <w:multiLevelType w:val="multilevel"/>
    <w:tmpl w:val="473A0042"/>
    <w:lvl w:ilvl="0">
      <w:start w:val="1"/>
      <w:numFmt w:val="bullet"/>
      <w:lvlText w:val=""/>
      <w:lvlJc w:val="left"/>
      <w:pPr>
        <w:tabs>
          <w:tab w:val="num" w:pos="720"/>
        </w:tabs>
        <w:ind w:left="720" w:hanging="360"/>
      </w:pPr>
      <w:rPr>
        <w:rFonts w:ascii="Wingdings" w:hAnsi="Wingdings" w:hint="default"/>
        <w:color w:val="569FD3"/>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213AB"/>
    <w:rsid w:val="00085832"/>
    <w:rsid w:val="0010752B"/>
    <w:rsid w:val="00134237"/>
    <w:rsid w:val="0018446B"/>
    <w:rsid w:val="00290CCD"/>
    <w:rsid w:val="002E297E"/>
    <w:rsid w:val="003178F0"/>
    <w:rsid w:val="003A4645"/>
    <w:rsid w:val="004213AB"/>
    <w:rsid w:val="004F0972"/>
    <w:rsid w:val="004F5638"/>
    <w:rsid w:val="00511102"/>
    <w:rsid w:val="00522755"/>
    <w:rsid w:val="00574500"/>
    <w:rsid w:val="006476C7"/>
    <w:rsid w:val="006B64D6"/>
    <w:rsid w:val="0082527A"/>
    <w:rsid w:val="008A4C30"/>
    <w:rsid w:val="008D6B6B"/>
    <w:rsid w:val="00A06219"/>
    <w:rsid w:val="00AC1861"/>
    <w:rsid w:val="00B06D4A"/>
    <w:rsid w:val="00B27AEE"/>
    <w:rsid w:val="00B87E62"/>
    <w:rsid w:val="00BB7CD2"/>
    <w:rsid w:val="00CB31F3"/>
    <w:rsid w:val="00CB5EC2"/>
    <w:rsid w:val="00CC22BD"/>
    <w:rsid w:val="00DD43F1"/>
    <w:rsid w:val="00E06158"/>
    <w:rsid w:val="00F233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4645"/>
    <w:rPr>
      <w:sz w:val="24"/>
    </w:rPr>
  </w:style>
  <w:style w:type="paragraph" w:styleId="Heading1">
    <w:name w:val="heading 1"/>
    <w:basedOn w:val="Normal"/>
    <w:next w:val="Normal"/>
    <w:qFormat/>
    <w:rsid w:val="003A4645"/>
    <w:pPr>
      <w:keepNext/>
      <w:jc w:val="center"/>
      <w:outlineLvl w:val="0"/>
    </w:pPr>
    <w:rPr>
      <w:i/>
    </w:rPr>
  </w:style>
  <w:style w:type="paragraph" w:styleId="Heading2">
    <w:name w:val="heading 2"/>
    <w:basedOn w:val="Normal"/>
    <w:next w:val="Normal"/>
    <w:qFormat/>
    <w:rsid w:val="003A4645"/>
    <w:pPr>
      <w:keepNext/>
      <w:outlineLvl w:val="1"/>
    </w:pPr>
    <w:rPr>
      <w:b/>
      <w:sz w:val="28"/>
    </w:rPr>
  </w:style>
  <w:style w:type="paragraph" w:styleId="Heading3">
    <w:name w:val="heading 3"/>
    <w:basedOn w:val="Normal"/>
    <w:next w:val="Normal"/>
    <w:qFormat/>
    <w:rsid w:val="003A4645"/>
    <w:pPr>
      <w:keepNext/>
      <w:jc w:val="center"/>
      <w:outlineLvl w:val="2"/>
    </w:pPr>
    <w:rPr>
      <w:rFonts w:ascii="Trebuchet MS" w:hAnsi="Trebuchet MS"/>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A4645"/>
  </w:style>
  <w:style w:type="character" w:styleId="EndnoteReference">
    <w:name w:val="endnote reference"/>
    <w:basedOn w:val="DefaultParagraphFont"/>
    <w:semiHidden/>
    <w:rsid w:val="003A4645"/>
    <w:rPr>
      <w:vertAlign w:val="superscript"/>
    </w:rPr>
  </w:style>
  <w:style w:type="paragraph" w:styleId="BodyTextIndent">
    <w:name w:val="Body Text Indent"/>
    <w:basedOn w:val="Normal"/>
    <w:rsid w:val="003A4645"/>
    <w:pPr>
      <w:spacing w:line="360" w:lineRule="auto"/>
      <w:ind w:firstLine="720"/>
    </w:pPr>
  </w:style>
  <w:style w:type="character" w:styleId="Hyperlink">
    <w:name w:val="Hyperlink"/>
    <w:basedOn w:val="DefaultParagraphFont"/>
    <w:rsid w:val="003A4645"/>
    <w:rPr>
      <w:color w:val="0000FF"/>
      <w:u w:val="single"/>
    </w:rPr>
  </w:style>
  <w:style w:type="paragraph" w:styleId="BalloonText">
    <w:name w:val="Balloon Text"/>
    <w:basedOn w:val="Normal"/>
    <w:semiHidden/>
    <w:rsid w:val="003A4645"/>
    <w:rPr>
      <w:rFonts w:ascii="Tahoma" w:hAnsi="Tahoma" w:cs="Tahoma"/>
      <w:sz w:val="16"/>
      <w:szCs w:val="16"/>
    </w:rPr>
  </w:style>
  <w:style w:type="character" w:styleId="FollowedHyperlink">
    <w:name w:val="FollowedHyperlink"/>
    <w:basedOn w:val="DefaultParagraphFont"/>
    <w:rsid w:val="003A4645"/>
    <w:rPr>
      <w:color w:val="800080"/>
      <w:u w:val="single"/>
    </w:rPr>
  </w:style>
  <w:style w:type="paragraph" w:styleId="NormalWeb">
    <w:name w:val="Normal (Web)"/>
    <w:basedOn w:val="Normal"/>
    <w:rsid w:val="003A4645"/>
    <w:pPr>
      <w:spacing w:before="100" w:beforeAutospacing="1" w:after="100" w:afterAutospacing="1"/>
    </w:pPr>
    <w:rPr>
      <w:rFonts w:ascii="Times New Roman" w:eastAsia="Times New Roman" w:hAnsi="Times New Roman"/>
      <w:szCs w:val="24"/>
    </w:rPr>
  </w:style>
  <w:style w:type="character" w:styleId="CommentReference">
    <w:name w:val="annotation reference"/>
    <w:basedOn w:val="DefaultParagraphFont"/>
    <w:semiHidden/>
    <w:rsid w:val="003A4645"/>
    <w:rPr>
      <w:sz w:val="16"/>
      <w:szCs w:val="16"/>
    </w:rPr>
  </w:style>
  <w:style w:type="paragraph" w:styleId="CommentText">
    <w:name w:val="annotation text"/>
    <w:basedOn w:val="Normal"/>
    <w:semiHidden/>
    <w:rsid w:val="003A4645"/>
    <w:rPr>
      <w:sz w:val="20"/>
    </w:rPr>
  </w:style>
  <w:style w:type="paragraph" w:styleId="CommentSubject">
    <w:name w:val="annotation subject"/>
    <w:basedOn w:val="CommentText"/>
    <w:next w:val="CommentText"/>
    <w:semiHidden/>
    <w:rsid w:val="003A4645"/>
    <w:rPr>
      <w:b/>
      <w:bCs/>
    </w:rPr>
  </w:style>
  <w:style w:type="paragraph" w:customStyle="1" w:styleId="bodytext">
    <w:name w:val="bodytext"/>
    <w:basedOn w:val="Normal"/>
    <w:rsid w:val="003A4645"/>
    <w:pPr>
      <w:spacing w:before="100" w:beforeAutospacing="1" w:after="100" w:afterAutospacing="1"/>
    </w:pPr>
    <w:rPr>
      <w:rFonts w:ascii="Times New Roman" w:eastAsia="Times New Roman" w:hAnsi="Times New Roman"/>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olkit.com/small_business_guide/sbg.aspx?nid=P07_000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toolkit.com/member_benefits.asp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olkit.com/small_business_guide/sbg.aspx?nid=P07_3220" TargetMode="External"/><Relationship Id="rId5" Type="http://schemas.openxmlformats.org/officeDocument/2006/relationships/footnotes" Target="footnotes.xml"/><Relationship Id="rId10" Type="http://schemas.openxmlformats.org/officeDocument/2006/relationships/hyperlink" Target="http://www.bizfilings.com/products/ccorp.asp" TargetMode="External"/><Relationship Id="rId4" Type="http://schemas.openxmlformats.org/officeDocument/2006/relationships/webSettings" Target="webSettings.xml"/><Relationship Id="rId9" Type="http://schemas.openxmlformats.org/officeDocument/2006/relationships/hyperlink" Target="http://www.bizfilings.com/products/incorporat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THG</Company>
  <LinksUpToDate>false</LinksUpToDate>
  <CharactersWithSpaces>5291</CharactersWithSpaces>
  <SharedDoc>false</SharedDoc>
  <HLinks>
    <vt:vector size="30" baseType="variant">
      <vt:variant>
        <vt:i4>3735640</vt:i4>
      </vt:variant>
      <vt:variant>
        <vt:i4>12</vt:i4>
      </vt:variant>
      <vt:variant>
        <vt:i4>0</vt:i4>
      </vt:variant>
      <vt:variant>
        <vt:i4>5</vt:i4>
      </vt:variant>
      <vt:variant>
        <vt:lpwstr>http://www.toolkit.com/small_business_guide/sbg.aspx?nid=P07_3220</vt:lpwstr>
      </vt:variant>
      <vt:variant>
        <vt:lpwstr/>
      </vt:variant>
      <vt:variant>
        <vt:i4>5308509</vt:i4>
      </vt:variant>
      <vt:variant>
        <vt:i4>9</vt:i4>
      </vt:variant>
      <vt:variant>
        <vt:i4>0</vt:i4>
      </vt:variant>
      <vt:variant>
        <vt:i4>5</vt:i4>
      </vt:variant>
      <vt:variant>
        <vt:lpwstr>http://www.bizfilings.com/products/ccorp.asp</vt:lpwstr>
      </vt:variant>
      <vt:variant>
        <vt:lpwstr/>
      </vt:variant>
      <vt:variant>
        <vt:i4>4063291</vt:i4>
      </vt:variant>
      <vt:variant>
        <vt:i4>6</vt:i4>
      </vt:variant>
      <vt:variant>
        <vt:i4>0</vt:i4>
      </vt:variant>
      <vt:variant>
        <vt:i4>5</vt:i4>
      </vt:variant>
      <vt:variant>
        <vt:lpwstr>http://www.bizfilings.com/products/incorporate.asp</vt:lpwstr>
      </vt:variant>
      <vt:variant>
        <vt:lpwstr/>
      </vt:variant>
      <vt:variant>
        <vt:i4>4522021</vt:i4>
      </vt:variant>
      <vt:variant>
        <vt:i4>3</vt:i4>
      </vt:variant>
      <vt:variant>
        <vt:i4>0</vt:i4>
      </vt:variant>
      <vt:variant>
        <vt:i4>5</vt:i4>
      </vt:variant>
      <vt:variant>
        <vt:lpwstr>http://www.timetostartup.com/small_business_guide/sbg.aspx?nid=P07_2500</vt:lpwstr>
      </vt:variant>
      <vt:variant>
        <vt:lpwstr/>
      </vt:variant>
      <vt:variant>
        <vt:i4>1048674</vt:i4>
      </vt:variant>
      <vt:variant>
        <vt:i4>0</vt:i4>
      </vt:variant>
      <vt:variant>
        <vt:i4>0</vt:i4>
      </vt:variant>
      <vt:variant>
        <vt:i4>5</vt:i4>
      </vt:variant>
      <vt:variant>
        <vt:lpwstr>http://www.toolkit.com/member_benefits.aspx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creator>Sarah Saubert</dc:creator>
  <cp:lastModifiedBy>Nicole Leach</cp:lastModifiedBy>
  <cp:revision>11</cp:revision>
  <cp:lastPrinted>2007-10-25T18:58:00Z</cp:lastPrinted>
  <dcterms:created xsi:type="dcterms:W3CDTF">2008-10-14T15:03:00Z</dcterms:created>
  <dcterms:modified xsi:type="dcterms:W3CDTF">2008-10-16T22:12:00Z</dcterms:modified>
</cp:coreProperties>
</file>