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A57" w:rsidRPr="00DB30F2" w:rsidRDefault="00FB6A57" w:rsidP="00FB6A57">
      <w:pPr>
        <w:jc w:val="center"/>
        <w:rPr>
          <w:b/>
          <w:noProof/>
          <w:sz w:val="40"/>
          <w:szCs w:val="40"/>
        </w:rPr>
      </w:pPr>
      <w:r w:rsidRPr="00DB30F2">
        <w:rPr>
          <w:b/>
          <w:bCs/>
          <w:noProof/>
          <w:sz w:val="40"/>
          <w:szCs w:val="40"/>
        </w:rPr>
        <w:t>TRUSTNODE</w:t>
      </w:r>
    </w:p>
    <w:p w:rsidR="00DB30F2" w:rsidRPr="00DB30F2" w:rsidRDefault="00DB30F2" w:rsidP="00DB30F2">
      <w:pPr>
        <w:pStyle w:val="CIMBody1"/>
        <w:spacing w:before="0" w:after="0" w:line="240" w:lineRule="auto"/>
        <w:jc w:val="left"/>
        <w:rPr>
          <w:rFonts w:ascii="Calibri" w:hAnsi="Calibri" w:cs="Calibri"/>
          <w:szCs w:val="22"/>
        </w:rPr>
      </w:pPr>
      <w:proofErr w:type="spellStart"/>
      <w:r>
        <w:rPr>
          <w:rFonts w:ascii="Calibri" w:hAnsi="Calibri" w:cs="Calibri"/>
          <w:szCs w:val="22"/>
        </w:rPr>
        <w:t>Trustnode’s</w:t>
      </w:r>
      <w:proofErr w:type="spellEnd"/>
      <w:r>
        <w:rPr>
          <w:rFonts w:ascii="Calibri" w:hAnsi="Calibri" w:cs="Calibri"/>
          <w:szCs w:val="22"/>
        </w:rPr>
        <w:t xml:space="preserve"> </w:t>
      </w:r>
      <w:r w:rsidRPr="00DB30F2">
        <w:rPr>
          <w:rFonts w:ascii="Calibri" w:hAnsi="Calibri" w:cs="Calibri"/>
          <w:szCs w:val="22"/>
        </w:rPr>
        <w:t xml:space="preserve">online, interactive benefits education and enrollment platform </w:t>
      </w:r>
      <w:r>
        <w:rPr>
          <w:rFonts w:ascii="Calibri" w:hAnsi="Calibri" w:cs="Calibri"/>
          <w:szCs w:val="22"/>
        </w:rPr>
        <w:t xml:space="preserve">is </w:t>
      </w:r>
      <w:r w:rsidRPr="00DB30F2">
        <w:rPr>
          <w:rFonts w:ascii="Calibri" w:hAnsi="Calibri" w:cs="Calibri"/>
          <w:szCs w:val="22"/>
        </w:rPr>
        <w:t xml:space="preserve">driven by The Potters and Friends™, a cast of programmable, animated cartoon characters linked to an insurance knowledgebase.  The </w:t>
      </w:r>
      <w:proofErr w:type="spellStart"/>
      <w:r w:rsidRPr="00DB30F2">
        <w:rPr>
          <w:rFonts w:ascii="Calibri" w:hAnsi="Calibri" w:cs="Calibri"/>
          <w:szCs w:val="22"/>
        </w:rPr>
        <w:t>Trustnode</w:t>
      </w:r>
      <w:proofErr w:type="spellEnd"/>
      <w:r w:rsidRPr="00DB30F2">
        <w:rPr>
          <w:rFonts w:ascii="Calibri" w:hAnsi="Calibri" w:cs="Calibri"/>
          <w:szCs w:val="22"/>
        </w:rPr>
        <w:t xml:space="preserve"> platform enables insurance carriers and agents, benefits brokers, and employers to quickly and easily provide a personalized online experience that more effectively engages employees in the benefits enrollment process.  </w:t>
      </w:r>
    </w:p>
    <w:p w:rsidR="00FB6A57" w:rsidRPr="00DB30F2" w:rsidRDefault="00FB6A57">
      <w:pPr>
        <w:rPr>
          <w:rFonts w:cstheme="minorHAnsi"/>
          <w:b/>
          <w:noProof/>
        </w:rPr>
      </w:pPr>
    </w:p>
    <w:p w:rsidR="00FB6A57" w:rsidRDefault="00FB6A57" w:rsidP="00FB6A57">
      <w:pPr>
        <w:jc w:val="center"/>
        <w:rPr>
          <w:noProof/>
        </w:rPr>
      </w:pPr>
      <w:r w:rsidRPr="00FB6A57">
        <w:rPr>
          <w:noProof/>
        </w:rPr>
        <w:drawing>
          <wp:inline distT="0" distB="0" distL="0" distR="0">
            <wp:extent cx="2438400" cy="849312"/>
            <wp:effectExtent l="19050" t="0" r="0" b="0"/>
            <wp:docPr id="2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849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A57" w:rsidRDefault="00FB6A57" w:rsidP="00FB6A57">
      <w:pPr>
        <w:jc w:val="center"/>
        <w:rPr>
          <w:noProof/>
        </w:rPr>
      </w:pPr>
      <w:r>
        <w:rPr>
          <w:noProof/>
        </w:rPr>
        <w:t>Programmable and Recognizable Characters</w:t>
      </w:r>
    </w:p>
    <w:p w:rsidR="00FB6A57" w:rsidRDefault="00FB6A57" w:rsidP="00FB6A57">
      <w:pPr>
        <w:jc w:val="center"/>
        <w:rPr>
          <w:noProof/>
        </w:rPr>
      </w:pPr>
      <w:r w:rsidRPr="00FB6A57">
        <w:rPr>
          <w:noProof/>
        </w:rPr>
        <w:drawing>
          <wp:inline distT="0" distB="0" distL="0" distR="0">
            <wp:extent cx="381000" cy="381000"/>
            <wp:effectExtent l="19050" t="0" r="0" b="0"/>
            <wp:docPr id="12" name="Object 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81000" cy="381000"/>
                      <a:chOff x="914400" y="2209800"/>
                      <a:chExt cx="381000" cy="381000"/>
                    </a:xfrm>
                  </a:grpSpPr>
                  <a:sp>
                    <a:nvSpPr>
                      <a:cNvPr id="10" name="Plus 9"/>
                      <a:cNvSpPr/>
                    </a:nvSpPr>
                    <a:spPr bwMode="auto">
                      <a:xfrm>
                        <a:off x="914400" y="2209800"/>
                        <a:ext cx="381000" cy="381000"/>
                      </a:xfrm>
                      <a:prstGeom prst="mathPlus">
                        <a:avLst/>
                      </a:prstGeom>
                      <a:solidFill>
                        <a:schemeClr val="accent1"/>
                      </a:solidFill>
                      <a:ln w="9525" cap="flat" cmpd="sng" algn="ctr">
                        <a:solidFill>
                          <a:schemeClr val="tx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endParaRPr lang="en-US">
                            <a:ea typeface="ＭＳ Ｐゴシック" pitchFamily="34" charset="-128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0E66B6" w:rsidRDefault="00FB6A57" w:rsidP="00FB6A57">
      <w:pPr>
        <w:jc w:val="center"/>
        <w:rPr>
          <w:noProof/>
        </w:rPr>
      </w:pPr>
      <w:r w:rsidRPr="00FB6A57">
        <w:rPr>
          <w:noProof/>
        </w:rPr>
        <w:drawing>
          <wp:inline distT="0" distB="0" distL="0" distR="0">
            <wp:extent cx="1371600" cy="1081088"/>
            <wp:effectExtent l="19050" t="0" r="0" b="0"/>
            <wp:docPr id="3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81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A57" w:rsidRDefault="00FB6A57" w:rsidP="00FB6A57">
      <w:pPr>
        <w:jc w:val="center"/>
        <w:rPr>
          <w:noProof/>
        </w:rPr>
      </w:pPr>
      <w:r>
        <w:rPr>
          <w:noProof/>
        </w:rPr>
        <w:t>Personalized, Interactive Conversations and Story-telling</w:t>
      </w:r>
    </w:p>
    <w:p w:rsidR="00FB6A57" w:rsidRDefault="00FB6A57" w:rsidP="00FB6A57">
      <w:pPr>
        <w:jc w:val="center"/>
        <w:rPr>
          <w:noProof/>
        </w:rPr>
      </w:pPr>
      <w:r w:rsidRPr="00FB6A57">
        <w:rPr>
          <w:noProof/>
        </w:rPr>
        <w:drawing>
          <wp:inline distT="0" distB="0" distL="0" distR="0">
            <wp:extent cx="381000" cy="381000"/>
            <wp:effectExtent l="19050" t="0" r="0" b="0"/>
            <wp:docPr id="13" name="Object 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81000" cy="381000"/>
                      <a:chOff x="914400" y="2209800"/>
                      <a:chExt cx="381000" cy="381000"/>
                    </a:xfrm>
                  </a:grpSpPr>
                  <a:sp>
                    <a:nvSpPr>
                      <a:cNvPr id="10" name="Plus 9"/>
                      <a:cNvSpPr/>
                    </a:nvSpPr>
                    <a:spPr bwMode="auto">
                      <a:xfrm>
                        <a:off x="914400" y="2209800"/>
                        <a:ext cx="381000" cy="381000"/>
                      </a:xfrm>
                      <a:prstGeom prst="mathPlus">
                        <a:avLst/>
                      </a:prstGeom>
                      <a:solidFill>
                        <a:schemeClr val="accent1"/>
                      </a:solidFill>
                      <a:ln w="9525" cap="flat" cmpd="sng" algn="ctr">
                        <a:solidFill>
                          <a:schemeClr val="tx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endParaRPr lang="en-US">
                            <a:ea typeface="ＭＳ Ｐゴシック" pitchFamily="34" charset="-128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FB6A57" w:rsidRDefault="00FB6A57" w:rsidP="00FB6A57">
      <w:pPr>
        <w:jc w:val="center"/>
      </w:pPr>
      <w:r w:rsidRPr="00FB6A57">
        <w:rPr>
          <w:noProof/>
        </w:rPr>
        <w:drawing>
          <wp:inline distT="0" distB="0" distL="0" distR="0">
            <wp:extent cx="1371600" cy="1211263"/>
            <wp:effectExtent l="1905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4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11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A57" w:rsidRDefault="00FB6A57" w:rsidP="00FB6A57">
      <w:pPr>
        <w:jc w:val="center"/>
      </w:pPr>
      <w:r>
        <w:t>Data Visualization with Industry Specific Knowledgebase</w:t>
      </w:r>
    </w:p>
    <w:p w:rsidR="00FB6A57" w:rsidRDefault="00FB6A57" w:rsidP="00FB6A57">
      <w:pPr>
        <w:jc w:val="center"/>
      </w:pPr>
    </w:p>
    <w:sectPr w:rsidR="00FB6A57" w:rsidSect="000E66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6A57"/>
    <w:rsid w:val="000E66B6"/>
    <w:rsid w:val="007B6CE3"/>
    <w:rsid w:val="00A07CD2"/>
    <w:rsid w:val="00C56A4F"/>
    <w:rsid w:val="00DB30F2"/>
    <w:rsid w:val="00F30509"/>
    <w:rsid w:val="00FB6A57"/>
    <w:rsid w:val="00FD7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6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6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A57"/>
    <w:rPr>
      <w:rFonts w:ascii="Tahoma" w:hAnsi="Tahoma" w:cs="Tahoma"/>
      <w:sz w:val="16"/>
      <w:szCs w:val="16"/>
    </w:rPr>
  </w:style>
  <w:style w:type="paragraph" w:customStyle="1" w:styleId="CIMBody1">
    <w:name w:val="_CIM_Body1"/>
    <w:basedOn w:val="Normal"/>
    <w:rsid w:val="00DB30F2"/>
    <w:pPr>
      <w:spacing w:before="60" w:after="140" w:line="260" w:lineRule="atLeast"/>
      <w:jc w:val="both"/>
    </w:pPr>
    <w:rPr>
      <w:rFonts w:ascii="Times New Roman" w:eastAsia="Calibri" w:hAnsi="Times New Roman" w:cs="Times New Roman"/>
      <w:bCs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3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Schoen</dc:creator>
  <cp:lastModifiedBy>Robin Schoen</cp:lastModifiedBy>
  <cp:revision>3</cp:revision>
  <dcterms:created xsi:type="dcterms:W3CDTF">2010-06-29T19:59:00Z</dcterms:created>
  <dcterms:modified xsi:type="dcterms:W3CDTF">2010-06-29T21:54:00Z</dcterms:modified>
</cp:coreProperties>
</file>