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FE" w:rsidRPr="006C3C9D" w:rsidRDefault="005C21FE">
      <w:pPr>
        <w:framePr w:w="1544" w:h="358" w:hRule="exact" w:hSpace="90" w:vSpace="90" w:wrap="auto" w:vAnchor="page" w:hAnchor="page" w:x="8978" w:y="1153"/>
        <w:pBdr>
          <w:top w:val="single" w:sz="6" w:space="0" w:color="FFFFFF"/>
          <w:left w:val="single" w:sz="6" w:space="0" w:color="FFFFFF"/>
          <w:bottom w:val="single" w:sz="6" w:space="0" w:color="FFFFFF"/>
          <w:right w:val="single" w:sz="6" w:space="0" w:color="FFFFFF"/>
        </w:pBdr>
      </w:pPr>
      <w:r w:rsidRPr="006C3C9D">
        <w:rPr>
          <w:sz w:val="20"/>
        </w:rPr>
        <w:object w:dxaOrig="4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8pt" o:ole="" fillcolor="window">
            <v:imagedata r:id="rId7" o:title="" croptop="-182f" cropbottom="-182f" cropleft="-224f" cropright="-224f"/>
          </v:shape>
          <o:OLEObject Type="Embed" ProgID="WPDraw30.Drawing" ShapeID="_x0000_i1025" DrawAspect="Content" ObjectID="_1350124462" r:id="rId8">
            <o:FieldCodes>\* MERGEFORMAT</o:FieldCodes>
          </o:OLEObject>
        </w:object>
      </w:r>
    </w:p>
    <w:p w:rsidR="005C21FE" w:rsidRPr="006C3C9D" w:rsidRDefault="008A0D21" w:rsidP="003C4A80">
      <w:pPr>
        <w:framePr w:w="1216" w:h="1404" w:hRule="exact" w:hSpace="90" w:vSpace="90" w:wrap="auto" w:vAnchor="page" w:hAnchor="page" w:x="1490" w:y="1321"/>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771525" cy="895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825" t="-203" r="-1825" b="-203"/>
                    <a:stretch>
                      <a:fillRect/>
                    </a:stretch>
                  </pic:blipFill>
                  <pic:spPr bwMode="auto">
                    <a:xfrm>
                      <a:off x="0" y="0"/>
                      <a:ext cx="771525" cy="895350"/>
                    </a:xfrm>
                    <a:prstGeom prst="rect">
                      <a:avLst/>
                    </a:prstGeom>
                    <a:noFill/>
                    <a:ln w="9525">
                      <a:noFill/>
                      <a:miter lim="800000"/>
                      <a:headEnd/>
                      <a:tailEnd/>
                    </a:ln>
                  </pic:spPr>
                </pic:pic>
              </a:graphicData>
            </a:graphic>
          </wp:inline>
        </w:drawing>
      </w:r>
    </w:p>
    <w:p w:rsidR="005C21FE" w:rsidRPr="006C3C9D" w:rsidRDefault="005C21FE" w:rsidP="00246826">
      <w:pPr>
        <w:tabs>
          <w:tab w:val="left" w:pos="720"/>
          <w:tab w:val="left" w:pos="1440"/>
          <w:tab w:val="left" w:pos="2160"/>
          <w:tab w:val="left" w:pos="2880"/>
          <w:tab w:val="left" w:pos="3690"/>
        </w:tabs>
        <w:rPr>
          <w:rFonts w:ascii="Arial" w:hAnsi="Arial" w:cs="Arial"/>
          <w:sz w:val="18"/>
        </w:rPr>
      </w:pPr>
      <w:r w:rsidRPr="006C3C9D">
        <w:rPr>
          <w:rFonts w:ascii="Arial" w:hAnsi="Arial" w:cs="Arial"/>
          <w:b/>
          <w:sz w:val="18"/>
        </w:rPr>
        <w:t>K-TRON INTERNATIONAL, INC.</w:t>
      </w:r>
      <w:r w:rsidRPr="006C3C9D">
        <w:rPr>
          <w:rFonts w:ascii="Arial" w:hAnsi="Arial" w:cs="Arial"/>
          <w:b/>
          <w:sz w:val="18"/>
        </w:rPr>
        <w:tab/>
      </w:r>
      <w:r w:rsidR="00246826">
        <w:rPr>
          <w:rFonts w:ascii="Arial" w:hAnsi="Arial" w:cs="Arial"/>
          <w:b/>
          <w:sz w:val="18"/>
        </w:rPr>
        <w:tab/>
      </w:r>
    </w:p>
    <w:p w:rsidR="005C21FE" w:rsidRPr="006C3C9D" w:rsidRDefault="00890D38" w:rsidP="004805C3">
      <w:pPr>
        <w:rPr>
          <w:rFonts w:ascii="Arial" w:hAnsi="Arial" w:cs="Arial"/>
          <w:b/>
          <w:sz w:val="18"/>
        </w:rPr>
      </w:pPr>
      <w:r w:rsidRPr="00890D38">
        <w:rPr>
          <w:rFonts w:ascii="Arial" w:hAnsi="Arial" w:cs="Arial"/>
          <w:noProof/>
          <w:sz w:val="18"/>
        </w:rPr>
        <w:pict>
          <v:shapetype id="_x0000_t202" coordsize="21600,21600" o:spt="202" path="m,l,21600r21600,l21600,xe">
            <v:stroke joinstyle="miter"/>
            <v:path gradientshapeok="t" o:connecttype="rect"/>
          </v:shapetype>
          <v:shape id="_x0000_s1030" type="#_x0000_t202" style="position:absolute;margin-left:297.25pt;margin-top:3.9pt;width:108pt;height:36pt;z-index:251657728" filled="f" stroked="f" strokeweight=".5pt">
            <v:textbox style="mso-next-textbox:#_x0000_s1030">
              <w:txbxContent>
                <w:p w:rsidR="00C1494F" w:rsidRDefault="00C1494F">
                  <w:pPr>
                    <w:pStyle w:val="Heading1"/>
                    <w:rPr>
                      <w:sz w:val="60"/>
                    </w:rPr>
                  </w:pPr>
                  <w:r>
                    <w:rPr>
                      <w:sz w:val="60"/>
                    </w:rPr>
                    <w:t>NEWS</w:t>
                  </w:r>
                </w:p>
                <w:p w:rsidR="00C1494F" w:rsidRDefault="00C1494F"/>
              </w:txbxContent>
            </v:textbox>
            <w10:wrap type="square"/>
          </v:shape>
        </w:pict>
      </w:r>
      <w:r w:rsidR="005C21FE" w:rsidRPr="006C3C9D">
        <w:rPr>
          <w:rFonts w:ascii="Arial" w:hAnsi="Arial" w:cs="Arial"/>
          <w:b/>
          <w:sz w:val="18"/>
        </w:rPr>
        <w:t xml:space="preserve">Routes 55 &amp; 553, </w:t>
      </w:r>
      <w:smartTag w:uri="urn:schemas-microsoft-com:office:smarttags" w:element="address">
        <w:smartTag w:uri="urn:schemas-microsoft-com:office:smarttags" w:element="Street">
          <w:r w:rsidR="005C21FE" w:rsidRPr="006C3C9D">
            <w:rPr>
              <w:rFonts w:ascii="Arial" w:hAnsi="Arial" w:cs="Arial"/>
              <w:b/>
              <w:sz w:val="18"/>
            </w:rPr>
            <w:t>PO Box</w:t>
          </w:r>
        </w:smartTag>
        <w:r w:rsidR="005C21FE" w:rsidRPr="006C3C9D">
          <w:rPr>
            <w:rFonts w:ascii="Arial" w:hAnsi="Arial" w:cs="Arial"/>
            <w:b/>
            <w:sz w:val="18"/>
          </w:rPr>
          <w:t xml:space="preserve"> 888</w:t>
        </w:r>
      </w:smartTag>
      <w:r w:rsidR="005C21FE" w:rsidRPr="006C3C9D">
        <w:rPr>
          <w:rFonts w:ascii="Arial" w:hAnsi="Arial" w:cs="Arial"/>
          <w:b/>
          <w:sz w:val="18"/>
        </w:rPr>
        <w:tab/>
      </w:r>
      <w:r w:rsidR="005C21FE" w:rsidRPr="006C3C9D">
        <w:rPr>
          <w:rFonts w:ascii="Arial" w:hAnsi="Arial" w:cs="Arial"/>
          <w:b/>
          <w:sz w:val="18"/>
        </w:rPr>
        <w:tab/>
      </w:r>
      <w:r w:rsidR="005C21FE" w:rsidRPr="006C3C9D">
        <w:rPr>
          <w:rFonts w:ascii="Arial" w:hAnsi="Arial" w:cs="Arial"/>
          <w:b/>
          <w:sz w:val="18"/>
        </w:rPr>
        <w:tab/>
      </w:r>
      <w:r w:rsidR="005C21FE" w:rsidRPr="006C3C9D">
        <w:rPr>
          <w:rFonts w:ascii="Arial" w:hAnsi="Arial" w:cs="Arial"/>
          <w:b/>
          <w:sz w:val="18"/>
        </w:rPr>
        <w:tab/>
      </w:r>
    </w:p>
    <w:p w:rsidR="005C21FE" w:rsidRPr="006C3C9D" w:rsidRDefault="005C21FE">
      <w:pPr>
        <w:rPr>
          <w:rFonts w:ascii="Arial" w:hAnsi="Arial" w:cs="Arial"/>
          <w:b/>
          <w:sz w:val="18"/>
        </w:rPr>
      </w:pPr>
      <w:smartTag w:uri="urn:schemas-microsoft-com:office:smarttags" w:element="place">
        <w:smartTag w:uri="urn:schemas-microsoft-com:office:smarttags" w:element="City">
          <w:r w:rsidRPr="006C3C9D">
            <w:rPr>
              <w:rFonts w:ascii="Arial" w:hAnsi="Arial" w:cs="Arial"/>
              <w:b/>
              <w:sz w:val="18"/>
            </w:rPr>
            <w:t>Pitman</w:t>
          </w:r>
        </w:smartTag>
        <w:r w:rsidRPr="006C3C9D">
          <w:rPr>
            <w:rFonts w:ascii="Arial" w:hAnsi="Arial" w:cs="Arial"/>
            <w:b/>
            <w:sz w:val="18"/>
          </w:rPr>
          <w:t xml:space="preserve">, </w:t>
        </w:r>
        <w:smartTag w:uri="urn:schemas-microsoft-com:office:smarttags" w:element="PlaceName">
          <w:r w:rsidRPr="006C3C9D">
            <w:rPr>
              <w:rFonts w:ascii="Arial" w:hAnsi="Arial" w:cs="Arial"/>
              <w:b/>
              <w:sz w:val="18"/>
            </w:rPr>
            <w:t>NJ</w:t>
          </w:r>
        </w:smartTag>
        <w:r w:rsidRPr="006C3C9D">
          <w:rPr>
            <w:rFonts w:ascii="Arial" w:hAnsi="Arial" w:cs="Arial"/>
            <w:b/>
            <w:sz w:val="18"/>
          </w:rPr>
          <w:t xml:space="preserve"> </w:t>
        </w:r>
        <w:smartTag w:uri="urn:schemas-microsoft-com:office:smarttags" w:element="PostalCode">
          <w:r w:rsidRPr="006C3C9D">
            <w:rPr>
              <w:rFonts w:ascii="Arial" w:hAnsi="Arial" w:cs="Arial"/>
              <w:b/>
              <w:sz w:val="18"/>
            </w:rPr>
            <w:t>08071-0888</w:t>
          </w:r>
        </w:smartTag>
      </w:smartTag>
      <w:r w:rsidRPr="006C3C9D">
        <w:rPr>
          <w:rFonts w:ascii="Arial" w:hAnsi="Arial" w:cs="Arial"/>
          <w:b/>
          <w:sz w:val="18"/>
        </w:rPr>
        <w:tab/>
      </w:r>
      <w:r w:rsidRPr="006C3C9D">
        <w:rPr>
          <w:rFonts w:ascii="Arial" w:hAnsi="Arial" w:cs="Arial"/>
          <w:b/>
          <w:sz w:val="18"/>
        </w:rPr>
        <w:tab/>
      </w:r>
      <w:r w:rsidRPr="006C3C9D">
        <w:rPr>
          <w:rFonts w:ascii="Arial" w:hAnsi="Arial" w:cs="Arial"/>
          <w:b/>
          <w:sz w:val="18"/>
        </w:rPr>
        <w:tab/>
      </w:r>
    </w:p>
    <w:p w:rsidR="005C21FE" w:rsidRPr="006C3C9D" w:rsidRDefault="005C21FE">
      <w:pPr>
        <w:rPr>
          <w:rFonts w:ascii="Arial" w:hAnsi="Arial" w:cs="Arial"/>
          <w:b/>
          <w:sz w:val="18"/>
        </w:rPr>
      </w:pPr>
      <w:r w:rsidRPr="006C3C9D">
        <w:rPr>
          <w:rFonts w:ascii="Arial" w:hAnsi="Arial" w:cs="Arial"/>
          <w:b/>
          <w:sz w:val="18"/>
        </w:rPr>
        <w:t>(856) 589-0500</w:t>
      </w:r>
      <w:r w:rsidRPr="006C3C9D">
        <w:rPr>
          <w:rFonts w:ascii="Arial" w:hAnsi="Arial" w:cs="Arial"/>
          <w:b/>
          <w:sz w:val="18"/>
        </w:rPr>
        <w:tab/>
      </w:r>
      <w:r w:rsidRPr="006C3C9D">
        <w:rPr>
          <w:rFonts w:ascii="Arial" w:hAnsi="Arial" w:cs="Arial"/>
          <w:b/>
          <w:sz w:val="18"/>
        </w:rPr>
        <w:tab/>
      </w:r>
      <w:r w:rsidRPr="006C3C9D">
        <w:rPr>
          <w:rFonts w:ascii="Arial" w:hAnsi="Arial" w:cs="Arial"/>
          <w:b/>
          <w:sz w:val="18"/>
        </w:rPr>
        <w:tab/>
      </w:r>
      <w:r w:rsidRPr="006C3C9D">
        <w:rPr>
          <w:rFonts w:ascii="Arial" w:hAnsi="Arial" w:cs="Arial"/>
          <w:b/>
          <w:sz w:val="18"/>
        </w:rPr>
        <w:tab/>
        <w:t xml:space="preserve">                                         FAX (856) 582-7968</w:t>
      </w:r>
    </w:p>
    <w:p w:rsidR="005C21FE" w:rsidRPr="006C3C9D" w:rsidRDefault="005C21FE">
      <w:pPr>
        <w:rPr>
          <w:rFonts w:ascii="Arial" w:hAnsi="Arial" w:cs="Arial"/>
          <w:b/>
          <w:sz w:val="18"/>
        </w:rPr>
      </w:pPr>
      <w:r w:rsidRPr="006C3C9D">
        <w:rPr>
          <w:rFonts w:ascii="Arial" w:hAnsi="Arial" w:cs="Arial"/>
          <w:b/>
          <w:sz w:val="18"/>
        </w:rPr>
        <w:t>www.ktroninternational.com</w:t>
      </w:r>
    </w:p>
    <w:p w:rsidR="005C21FE" w:rsidRPr="000867FB" w:rsidRDefault="005C21FE" w:rsidP="003C4A80">
      <w:pPr>
        <w:rPr>
          <w:b/>
          <w:sz w:val="20"/>
          <w:lang w:val="de-DE"/>
        </w:rPr>
      </w:pPr>
      <w:r w:rsidRPr="000867FB">
        <w:rPr>
          <w:rFonts w:ascii="Arial" w:hAnsi="Arial" w:cs="Arial"/>
          <w:b/>
          <w:sz w:val="18"/>
          <w:lang w:val="de-DE"/>
        </w:rPr>
        <w:t>E-mail: ktii@ktron.com</w:t>
      </w:r>
      <w:r w:rsidRPr="000867FB">
        <w:rPr>
          <w:b/>
          <w:sz w:val="20"/>
          <w:lang w:val="de-DE"/>
        </w:rPr>
        <w:tab/>
      </w:r>
    </w:p>
    <w:p w:rsidR="005C21FE" w:rsidRPr="000867FB" w:rsidRDefault="005C21FE">
      <w:pPr>
        <w:rPr>
          <w:lang w:val="de-DE"/>
        </w:rPr>
      </w:pPr>
    </w:p>
    <w:p w:rsidR="00DF66A8" w:rsidRPr="000867FB" w:rsidRDefault="006B7DEF" w:rsidP="00DF66A8">
      <w:pPr>
        <w:rPr>
          <w:lang w:val="de-DE"/>
        </w:rPr>
      </w:pPr>
      <w:r w:rsidRPr="000867FB">
        <w:rPr>
          <w:lang w:val="de-DE"/>
        </w:rPr>
        <w:tab/>
      </w:r>
      <w:r w:rsidRPr="000867FB">
        <w:rPr>
          <w:lang w:val="de-DE"/>
        </w:rPr>
        <w:tab/>
      </w:r>
      <w:r w:rsidRPr="000867FB">
        <w:rPr>
          <w:lang w:val="de-DE"/>
        </w:rPr>
        <w:tab/>
      </w:r>
      <w:r w:rsidR="00DF66A8" w:rsidRPr="000867FB">
        <w:rPr>
          <w:lang w:val="de-DE"/>
        </w:rPr>
        <w:tab/>
      </w:r>
      <w:r w:rsidR="00DF66A8" w:rsidRPr="000867FB">
        <w:rPr>
          <w:lang w:val="de-DE"/>
        </w:rPr>
        <w:tab/>
      </w:r>
      <w:r w:rsidR="00DF66A8" w:rsidRPr="000867FB">
        <w:rPr>
          <w:lang w:val="de-DE"/>
        </w:rPr>
        <w:tab/>
      </w:r>
      <w:r w:rsidR="00DF66A8" w:rsidRPr="000867FB">
        <w:rPr>
          <w:lang w:val="de-DE"/>
        </w:rPr>
        <w:tab/>
      </w:r>
      <w:r w:rsidR="00DF66A8" w:rsidRPr="000867FB">
        <w:rPr>
          <w:lang w:val="de-DE"/>
        </w:rPr>
        <w:tab/>
      </w:r>
      <w:r w:rsidR="00DF66A8" w:rsidRPr="000867FB">
        <w:rPr>
          <w:lang w:val="de-DE"/>
        </w:rPr>
        <w:tab/>
      </w:r>
    </w:p>
    <w:p w:rsidR="00990A3E" w:rsidRPr="006C3C9D" w:rsidRDefault="00990A3E" w:rsidP="00990A3E">
      <w:pPr>
        <w:tabs>
          <w:tab w:val="left" w:pos="1440"/>
        </w:tabs>
        <w:ind w:left="1440" w:hanging="1440"/>
        <w:rPr>
          <w:b/>
          <w:sz w:val="28"/>
        </w:rPr>
      </w:pPr>
      <w:r w:rsidRPr="006C3C9D">
        <w:t>For Release:</w:t>
      </w:r>
      <w:r w:rsidRPr="006C3C9D">
        <w:tab/>
        <w:t>Immediately</w:t>
      </w:r>
      <w:r w:rsidRPr="006C3C9D">
        <w:tab/>
      </w:r>
      <w:r w:rsidRPr="006C3C9D">
        <w:tab/>
      </w:r>
      <w:r w:rsidRPr="006C3C9D">
        <w:tab/>
      </w:r>
      <w:r>
        <w:tab/>
      </w:r>
      <w:r>
        <w:tab/>
      </w:r>
      <w:r>
        <w:tab/>
      </w:r>
      <w:r>
        <w:tab/>
      </w:r>
    </w:p>
    <w:p w:rsidR="00990A3E" w:rsidRPr="006C3C9D" w:rsidRDefault="00990A3E" w:rsidP="00990A3E"/>
    <w:p w:rsidR="00990A3E" w:rsidRPr="006C3C9D" w:rsidRDefault="00990A3E" w:rsidP="00990A3E">
      <w:pPr>
        <w:tabs>
          <w:tab w:val="left" w:pos="1440"/>
        </w:tabs>
        <w:ind w:left="1440" w:hanging="1440"/>
      </w:pPr>
      <w:r w:rsidRPr="006C3C9D">
        <w:t>Contact:</w:t>
      </w:r>
      <w:r w:rsidRPr="006C3C9D">
        <w:tab/>
      </w:r>
      <w:r>
        <w:t>Robert E. Wisniewski</w:t>
      </w:r>
      <w:r w:rsidRPr="006C3C9D">
        <w:t>, Senior Vice President and Chief Financial Officer</w:t>
      </w:r>
    </w:p>
    <w:p w:rsidR="00990A3E" w:rsidRDefault="00990A3E" w:rsidP="00990A3E">
      <w:pPr>
        <w:tabs>
          <w:tab w:val="left" w:pos="4320"/>
        </w:tabs>
        <w:ind w:left="4320" w:hanging="4320"/>
        <w:rPr>
          <w:lang w:val="de-DE"/>
        </w:rPr>
      </w:pPr>
      <w:r w:rsidRPr="00235322">
        <w:t xml:space="preserve">                        </w:t>
      </w:r>
      <w:r w:rsidRPr="006C3C9D">
        <w:rPr>
          <w:lang w:val="de-DE"/>
        </w:rPr>
        <w:t>Tel: (856) 256-3311</w:t>
      </w:r>
      <w:r w:rsidRPr="006C3C9D">
        <w:rPr>
          <w:lang w:val="de-DE"/>
        </w:rPr>
        <w:tab/>
        <w:t xml:space="preserve">E-mail: </w:t>
      </w:r>
      <w:hyperlink r:id="rId10" w:history="1">
        <w:r w:rsidRPr="00567936">
          <w:rPr>
            <w:rStyle w:val="Hyperlink"/>
            <w:lang w:val="de-DE"/>
          </w:rPr>
          <w:t>rwisniewski@ktron.com</w:t>
        </w:r>
      </w:hyperlink>
    </w:p>
    <w:p w:rsidR="00990A3E" w:rsidRDefault="00990A3E" w:rsidP="00990A3E">
      <w:pPr>
        <w:tabs>
          <w:tab w:val="left" w:pos="4320"/>
        </w:tabs>
        <w:ind w:left="4320" w:hanging="4320"/>
        <w:rPr>
          <w:lang w:val="de-DE"/>
        </w:rPr>
      </w:pPr>
    </w:p>
    <w:p w:rsidR="00990A3E" w:rsidRPr="006C3C9D" w:rsidRDefault="00990A3E" w:rsidP="00990A3E">
      <w:pPr>
        <w:tabs>
          <w:tab w:val="left" w:pos="4320"/>
        </w:tabs>
        <w:ind w:left="4320" w:hanging="4320"/>
        <w:rPr>
          <w:lang w:val="de-DE"/>
        </w:rPr>
      </w:pPr>
    </w:p>
    <w:p w:rsidR="00763A70" w:rsidRPr="00C1494F" w:rsidRDefault="00763A70" w:rsidP="00763A70">
      <w:pPr>
        <w:autoSpaceDE w:val="0"/>
        <w:autoSpaceDN w:val="0"/>
        <w:adjustRightInd w:val="0"/>
        <w:jc w:val="center"/>
        <w:rPr>
          <w:b/>
          <w:caps/>
        </w:rPr>
      </w:pPr>
      <w:r w:rsidRPr="00C1494F">
        <w:rPr>
          <w:b/>
          <w:caps/>
        </w:rPr>
        <w:t>K-Tron International Ranked 46</w:t>
      </w:r>
      <w:r w:rsidRPr="00C1494F">
        <w:rPr>
          <w:b/>
          <w:caps/>
          <w:vertAlign w:val="superscript"/>
        </w:rPr>
        <w:t>th</w:t>
      </w:r>
      <w:r w:rsidRPr="00C1494F">
        <w:rPr>
          <w:b/>
          <w:caps/>
        </w:rPr>
        <w:t xml:space="preserve"> in Deloitte’s 2010 Greater Philadelphia Fast 50</w:t>
      </w:r>
    </w:p>
    <w:p w:rsidR="00763A70" w:rsidRPr="00330690" w:rsidRDefault="00763A70" w:rsidP="00763A70">
      <w:pPr>
        <w:autoSpaceDE w:val="0"/>
        <w:autoSpaceDN w:val="0"/>
        <w:adjustRightInd w:val="0"/>
        <w:jc w:val="center"/>
        <w:rPr>
          <w:b/>
        </w:rPr>
      </w:pPr>
    </w:p>
    <w:p w:rsidR="00763A70" w:rsidRPr="00C1494F" w:rsidRDefault="00763A70" w:rsidP="00C1494F">
      <w:pPr>
        <w:autoSpaceDE w:val="0"/>
        <w:autoSpaceDN w:val="0"/>
        <w:adjustRightInd w:val="0"/>
        <w:jc w:val="center"/>
        <w:rPr>
          <w:b/>
          <w:caps/>
        </w:rPr>
      </w:pPr>
      <w:r w:rsidRPr="00C1494F">
        <w:rPr>
          <w:b/>
          <w:caps/>
        </w:rPr>
        <w:t>Attributes its 60% Revenue Growth to Market-Leading Technologies and Strategic Acquisitions</w:t>
      </w:r>
    </w:p>
    <w:p w:rsidR="00C1494F" w:rsidRPr="00330690" w:rsidRDefault="00C1494F" w:rsidP="00763A70">
      <w:pPr>
        <w:autoSpaceDE w:val="0"/>
        <w:autoSpaceDN w:val="0"/>
        <w:adjustRightInd w:val="0"/>
        <w:rPr>
          <w:i/>
        </w:rPr>
      </w:pPr>
    </w:p>
    <w:p w:rsidR="00763A70" w:rsidRPr="00330690" w:rsidRDefault="00763A70" w:rsidP="00763A70">
      <w:pPr>
        <w:autoSpaceDE w:val="0"/>
        <w:autoSpaceDN w:val="0"/>
        <w:adjustRightInd w:val="0"/>
      </w:pPr>
      <w:r w:rsidRPr="00C1494F">
        <w:rPr>
          <w:b/>
        </w:rPr>
        <w:t>Pitman, New Jersey</w:t>
      </w:r>
      <w:r w:rsidR="00C1494F" w:rsidRPr="00C1494F">
        <w:rPr>
          <w:b/>
        </w:rPr>
        <w:t xml:space="preserve"> - - </w:t>
      </w:r>
      <w:r w:rsidRPr="00C1494F">
        <w:rPr>
          <w:b/>
        </w:rPr>
        <w:t xml:space="preserve"> </w:t>
      </w:r>
      <w:r w:rsidR="00857F66">
        <w:rPr>
          <w:b/>
        </w:rPr>
        <w:t>November 1, 2010</w:t>
      </w:r>
      <w:r w:rsidR="00C1494F">
        <w:rPr>
          <w:b/>
        </w:rPr>
        <w:t xml:space="preserve"> - - </w:t>
      </w:r>
      <w:r>
        <w:t xml:space="preserve">K-Tron International </w:t>
      </w:r>
      <w:r w:rsidRPr="00330690">
        <w:t xml:space="preserve">today announced that it ranked number </w:t>
      </w:r>
      <w:r>
        <w:t>46</w:t>
      </w:r>
      <w:r w:rsidRPr="00330690">
        <w:t xml:space="preserve"> on </w:t>
      </w:r>
      <w:r>
        <w:t>the 2010 Greater Philadelphia Fast 50</w:t>
      </w:r>
      <w:r w:rsidRPr="00330690">
        <w:t>, Deloitte’s ranking of 50 of the fastest</w:t>
      </w:r>
      <w:r>
        <w:t>-</w:t>
      </w:r>
      <w:r w:rsidRPr="00330690">
        <w:t xml:space="preserve">growing technology, life sciences and clean technology companies in </w:t>
      </w:r>
      <w:r>
        <w:t>the Greater Philadelphia region</w:t>
      </w:r>
      <w:r w:rsidRPr="00330690">
        <w:t xml:space="preserve">. Rankings are based on percentage of fiscal year revenue growth during the period from 2005–2009. </w:t>
      </w:r>
      <w:r>
        <w:t>K-Tron</w:t>
      </w:r>
      <w:r w:rsidRPr="00330690">
        <w:t xml:space="preserve"> grew </w:t>
      </w:r>
      <w:r>
        <w:t>60</w:t>
      </w:r>
      <w:r w:rsidRPr="00330690">
        <w:t xml:space="preserve"> percent during this period.</w:t>
      </w:r>
    </w:p>
    <w:p w:rsidR="00763A70" w:rsidRPr="00255FB0" w:rsidRDefault="00763A70" w:rsidP="00763A70">
      <w:pPr>
        <w:autoSpaceDE w:val="0"/>
        <w:autoSpaceDN w:val="0"/>
        <w:adjustRightInd w:val="0"/>
        <w:rPr>
          <w:sz w:val="10"/>
          <w:szCs w:val="10"/>
        </w:rPr>
      </w:pPr>
    </w:p>
    <w:p w:rsidR="00763A70" w:rsidRDefault="00763A70" w:rsidP="00763A70">
      <w:pPr>
        <w:autoSpaceDE w:val="0"/>
        <w:autoSpaceDN w:val="0"/>
        <w:adjustRightInd w:val="0"/>
      </w:pPr>
      <w:r>
        <w:t>K-Tron’s</w:t>
      </w:r>
      <w:r w:rsidRPr="00330690">
        <w:t xml:space="preserve"> </w:t>
      </w:r>
      <w:r w:rsidR="00C1494F">
        <w:t>Chief F</w:t>
      </w:r>
      <w:r>
        <w:t>inancial</w:t>
      </w:r>
      <w:r w:rsidRPr="00330690">
        <w:t xml:space="preserve"> </w:t>
      </w:r>
      <w:r w:rsidR="00C1494F">
        <w:t>O</w:t>
      </w:r>
      <w:r w:rsidRPr="00330690">
        <w:t xml:space="preserve">fficer, </w:t>
      </w:r>
      <w:r>
        <w:t>Robert Wisniewski,</w:t>
      </w:r>
      <w:r w:rsidRPr="00330690">
        <w:t xml:space="preserve"> credit</w:t>
      </w:r>
      <w:r>
        <w:t>ed</w:t>
      </w:r>
      <w:r w:rsidRPr="00330690">
        <w:t xml:space="preserve"> </w:t>
      </w:r>
      <w:r>
        <w:t xml:space="preserve">both internal growth </w:t>
      </w:r>
      <w:r w:rsidRPr="00330690">
        <w:t xml:space="preserve">and </w:t>
      </w:r>
      <w:r>
        <w:t>a string of highly successful acquisitions</w:t>
      </w:r>
      <w:r w:rsidRPr="00330690">
        <w:t xml:space="preserve"> </w:t>
      </w:r>
      <w:r>
        <w:t>for</w:t>
      </w:r>
      <w:r w:rsidRPr="00330690">
        <w:t xml:space="preserve"> the company’s </w:t>
      </w:r>
      <w:r>
        <w:t>60 percent</w:t>
      </w:r>
      <w:r w:rsidRPr="00330690">
        <w:t xml:space="preserve"> revenue growth. </w:t>
      </w:r>
      <w:r>
        <w:t>“This award illustrates the high level of performance Hillenbrand, Inc. saw in K-Tron, which led it to acquire the company on April 1, 2010,” he said.</w:t>
      </w:r>
    </w:p>
    <w:p w:rsidR="00763A70" w:rsidRPr="00255FB0" w:rsidRDefault="00763A70" w:rsidP="00763A70">
      <w:pPr>
        <w:autoSpaceDE w:val="0"/>
        <w:autoSpaceDN w:val="0"/>
        <w:adjustRightInd w:val="0"/>
        <w:rPr>
          <w:sz w:val="10"/>
          <w:szCs w:val="10"/>
        </w:rPr>
      </w:pPr>
      <w:r w:rsidRPr="0013110F">
        <w:rPr>
          <w:sz w:val="10"/>
          <w:szCs w:val="10"/>
        </w:rPr>
        <w:t xml:space="preserve"> </w:t>
      </w:r>
    </w:p>
    <w:p w:rsidR="00763A70" w:rsidRPr="00330690" w:rsidRDefault="00763A70" w:rsidP="00763A70">
      <w:pPr>
        <w:autoSpaceDE w:val="0"/>
        <w:autoSpaceDN w:val="0"/>
        <w:adjustRightInd w:val="0"/>
      </w:pPr>
      <w:r>
        <w:t>He added, “Hillenbrand views K-Tron as a long-term growth platform. The company plans to leverage our market-leading technologies and systems knowledge, applying Hillenbrand’s core competencies in strategy management, lean business principles and talent development, to fuel that growth.”</w:t>
      </w:r>
    </w:p>
    <w:p w:rsidR="00763A70" w:rsidRPr="00255FB0" w:rsidRDefault="00763A70" w:rsidP="00763A70">
      <w:pPr>
        <w:autoSpaceDE w:val="0"/>
        <w:autoSpaceDN w:val="0"/>
        <w:adjustRightInd w:val="0"/>
        <w:rPr>
          <w:sz w:val="10"/>
          <w:szCs w:val="10"/>
        </w:rPr>
      </w:pPr>
    </w:p>
    <w:p w:rsidR="00763A70" w:rsidRPr="00973C27" w:rsidRDefault="00763A70" w:rsidP="00763A70">
      <w:pPr>
        <w:autoSpaceDE w:val="0"/>
        <w:autoSpaceDN w:val="0"/>
      </w:pPr>
      <w:r w:rsidRPr="00973C27">
        <w:t>“</w:t>
      </w:r>
      <w:r>
        <w:t xml:space="preserve">K-Tron International </w:t>
      </w:r>
      <w:r w:rsidRPr="00973C27">
        <w:t xml:space="preserve">and the other </w:t>
      </w:r>
      <w:r w:rsidRPr="0039259F">
        <w:t>2010 Greater Philadelphia Fast 50</w:t>
      </w:r>
      <w:r w:rsidRPr="00973C27">
        <w:t xml:space="preserve"> winners forged ahead in a challenging economic environment to realize exceptional growth,” said Tara L. Weiner, managing partner, Greater Philadelphia region, Deloitte.  </w:t>
      </w:r>
      <w:r>
        <w:t>“</w:t>
      </w:r>
      <w:r w:rsidRPr="00973C27">
        <w:t xml:space="preserve">Deloitte commends </w:t>
      </w:r>
      <w:r>
        <w:t xml:space="preserve">K-Tron </w:t>
      </w:r>
      <w:r w:rsidRPr="00973C27">
        <w:t>for this impressive accomplishment.”</w:t>
      </w:r>
    </w:p>
    <w:p w:rsidR="00763A70" w:rsidRPr="00255FB0" w:rsidRDefault="00763A70" w:rsidP="00763A70">
      <w:pPr>
        <w:autoSpaceDE w:val="0"/>
        <w:autoSpaceDN w:val="0"/>
        <w:rPr>
          <w:sz w:val="10"/>
          <w:szCs w:val="10"/>
        </w:rPr>
      </w:pPr>
    </w:p>
    <w:p w:rsidR="00763A70" w:rsidRPr="0086625E" w:rsidRDefault="00763A70" w:rsidP="00763A70">
      <w:pPr>
        <w:autoSpaceDE w:val="0"/>
        <w:autoSpaceDN w:val="0"/>
        <w:adjustRightInd w:val="0"/>
        <w:rPr>
          <w:b/>
        </w:rPr>
      </w:pPr>
      <w:r>
        <w:t>This is K-Tron’s</w:t>
      </w:r>
      <w:r w:rsidRPr="00330690">
        <w:t xml:space="preserve"> </w:t>
      </w:r>
      <w:r>
        <w:t xml:space="preserve">second consecutive year </w:t>
      </w:r>
      <w:r w:rsidRPr="00330690">
        <w:t xml:space="preserve">as a </w:t>
      </w:r>
      <w:r>
        <w:t>Greater Philadelphia</w:t>
      </w:r>
      <w:r w:rsidRPr="00330690">
        <w:t xml:space="preserve"> Fast 50 award winner</w:t>
      </w:r>
      <w:r>
        <w:t>. The company</w:t>
      </w:r>
      <w:r w:rsidRPr="00330690">
        <w:t xml:space="preserve"> ranked </w:t>
      </w:r>
      <w:r>
        <w:t>40th</w:t>
      </w:r>
      <w:r w:rsidRPr="00330690">
        <w:t xml:space="preserve"> </w:t>
      </w:r>
      <w:r>
        <w:t>in</w:t>
      </w:r>
      <w:r w:rsidRPr="00330690">
        <w:t xml:space="preserve"> </w:t>
      </w:r>
      <w:r>
        <w:t xml:space="preserve">2009. </w:t>
      </w:r>
      <w:r w:rsidRPr="0086625E">
        <w:rPr>
          <w:b/>
        </w:rPr>
        <w:t>For detail</w:t>
      </w:r>
      <w:r>
        <w:rPr>
          <w:b/>
        </w:rPr>
        <w:t>s</w:t>
      </w:r>
      <w:r w:rsidRPr="0086625E">
        <w:rPr>
          <w:b/>
        </w:rPr>
        <w:t xml:space="preserve"> on the 2010 Greater Philadelphia Fast 50</w:t>
      </w:r>
      <w:r>
        <w:rPr>
          <w:b/>
        </w:rPr>
        <w:t>,</w:t>
      </w:r>
      <w:r w:rsidRPr="0086625E">
        <w:rPr>
          <w:b/>
        </w:rPr>
        <w:t xml:space="preserve"> including selection and qualifying criteria, visit </w:t>
      </w:r>
      <w:hyperlink r:id="rId11" w:history="1">
        <w:r w:rsidRPr="0086625E">
          <w:rPr>
            <w:rStyle w:val="Hyperlink"/>
          </w:rPr>
          <w:t>http://www.deloitte.com/us/phillyfast50</w:t>
        </w:r>
      </w:hyperlink>
    </w:p>
    <w:p w:rsidR="00763A70" w:rsidRPr="00330690" w:rsidRDefault="00763A70" w:rsidP="00763A70">
      <w:pPr>
        <w:pStyle w:val="BodyText3"/>
        <w:rPr>
          <w:sz w:val="22"/>
          <w:szCs w:val="22"/>
        </w:rPr>
      </w:pPr>
    </w:p>
    <w:p w:rsidR="00763A70" w:rsidRPr="00C15212" w:rsidRDefault="00763A70" w:rsidP="00763A70">
      <w:pPr>
        <w:autoSpaceDE w:val="0"/>
        <w:autoSpaceDN w:val="0"/>
        <w:adjustRightInd w:val="0"/>
        <w:rPr>
          <w:b/>
        </w:rPr>
      </w:pPr>
      <w:r w:rsidRPr="00C15212">
        <w:rPr>
          <w:b/>
        </w:rPr>
        <w:t>About Hillenbrand, Inc.</w:t>
      </w:r>
      <w:r>
        <w:rPr>
          <w:b/>
        </w:rPr>
        <w:t xml:space="preserve"> and K-Tron International</w:t>
      </w:r>
    </w:p>
    <w:p w:rsidR="00763A70" w:rsidRDefault="00763A70" w:rsidP="00763A70">
      <w:pPr>
        <w:autoSpaceDE w:val="0"/>
        <w:autoSpaceDN w:val="0"/>
        <w:adjustRightInd w:val="0"/>
      </w:pPr>
      <w:r w:rsidRPr="00C15212">
        <w:t>Hillenbrand (</w:t>
      </w:r>
      <w:hyperlink r:id="rId12" w:history="1">
        <w:r w:rsidRPr="00C15212">
          <w:rPr>
            <w:rStyle w:val="Hyperlink"/>
          </w:rPr>
          <w:t>www.HillenbrandInc.com</w:t>
        </w:r>
      </w:hyperlink>
      <w:r w:rsidRPr="00C15212">
        <w:t>) is a diversified enterprise with multiple subsidiaries focused around two separate operating businesses. Batesville Casket (</w:t>
      </w:r>
      <w:hyperlink r:id="rId13" w:history="1">
        <w:r w:rsidRPr="00C15212">
          <w:rPr>
            <w:rStyle w:val="Hyperlink"/>
          </w:rPr>
          <w:t>www.batesville.com</w:t>
        </w:r>
      </w:hyperlink>
      <w:proofErr w:type="gramStart"/>
      <w:r>
        <w:t>)</w:t>
      </w:r>
      <w:r w:rsidRPr="00C15212">
        <w:t xml:space="preserve">  is</w:t>
      </w:r>
      <w:proofErr w:type="gramEnd"/>
      <w:r w:rsidRPr="00C15212">
        <w:t xml:space="preserve"> a leader in the North American death care industry through the sale of funeral services products, including burial caskets, cremation caskets, containers and urns, selection room display fixturing, </w:t>
      </w:r>
      <w:r w:rsidRPr="00C15212">
        <w:lastRenderedPageBreak/>
        <w:t>and other personalization and memorialization products. K-Tron International (</w:t>
      </w:r>
      <w:hyperlink r:id="rId14" w:history="1">
        <w:r w:rsidRPr="00C15212">
          <w:rPr>
            <w:rStyle w:val="Hyperlink"/>
          </w:rPr>
          <w:t>www.ktroninternational.com</w:t>
        </w:r>
      </w:hyperlink>
      <w:r w:rsidRPr="00C15212">
        <w:t>) is a recognized leader in the design, production, marketing and servicing of bulk solids material handling equipment and systems. The company serves many different industrial markets through two product lines. The Process Group focuses primarily on feeding and pneumatic conveying equipment, doing business under two main brands: K-Tron Feeders</w:t>
      </w:r>
      <w:r>
        <w:t xml:space="preserve"> (</w:t>
      </w:r>
      <w:hyperlink r:id="rId15" w:history="1">
        <w:r w:rsidRPr="00EF134C">
          <w:rPr>
            <w:rStyle w:val="Hyperlink"/>
          </w:rPr>
          <w:t>www.ktron.com</w:t>
        </w:r>
      </w:hyperlink>
      <w:r>
        <w:t xml:space="preserve">) </w:t>
      </w:r>
      <w:r w:rsidRPr="00C15212">
        <w:t>and K-Tron Premier</w:t>
      </w:r>
      <w:r>
        <w:t xml:space="preserve"> (</w:t>
      </w:r>
      <w:hyperlink r:id="rId16" w:history="1">
        <w:r w:rsidRPr="00EF134C">
          <w:rPr>
            <w:rStyle w:val="Hyperlink"/>
          </w:rPr>
          <w:t>www.ktronpremier.com</w:t>
        </w:r>
      </w:hyperlink>
      <w:r>
        <w:t>)</w:t>
      </w:r>
      <w:r w:rsidRPr="00C15212">
        <w:t>. The Size Reduction Group concentrates on size reduction equipment, conveying systems and screening equipment, operating under three brands: Pennsylvania Crusher</w:t>
      </w:r>
      <w:r>
        <w:t xml:space="preserve"> (</w:t>
      </w:r>
      <w:hyperlink r:id="rId17" w:history="1">
        <w:r w:rsidRPr="00EF134C">
          <w:rPr>
            <w:rStyle w:val="Hyperlink"/>
          </w:rPr>
          <w:t>www.penncrusher.com</w:t>
        </w:r>
      </w:hyperlink>
      <w:r>
        <w:t>)</w:t>
      </w:r>
      <w:r w:rsidRPr="00C15212">
        <w:t>, Gundlach</w:t>
      </w:r>
      <w:r>
        <w:t xml:space="preserve"> (</w:t>
      </w:r>
      <w:hyperlink r:id="rId18" w:history="1">
        <w:r w:rsidRPr="00EF134C">
          <w:rPr>
            <w:rStyle w:val="Hyperlink"/>
          </w:rPr>
          <w:t>www.gundlachcrushers.com</w:t>
        </w:r>
      </w:hyperlink>
      <w:r>
        <w:t>)</w:t>
      </w:r>
      <w:r w:rsidRPr="00C15212">
        <w:t xml:space="preserve"> and Jeffrey Rader</w:t>
      </w:r>
      <w:r>
        <w:t xml:space="preserve"> (</w:t>
      </w:r>
      <w:hyperlink r:id="rId19" w:history="1">
        <w:r w:rsidRPr="00EF134C">
          <w:rPr>
            <w:rStyle w:val="Hyperlink"/>
          </w:rPr>
          <w:t>www.jeffreyrader.com</w:t>
        </w:r>
      </w:hyperlink>
      <w:r>
        <w:t xml:space="preserve">). </w:t>
      </w:r>
      <w:r w:rsidRPr="00C15212">
        <w:t xml:space="preserve"> </w:t>
      </w:r>
    </w:p>
    <w:p w:rsidR="00763A70" w:rsidRDefault="00763A70" w:rsidP="00763A70">
      <w:pPr>
        <w:spacing w:line="192" w:lineRule="atLeast"/>
      </w:pPr>
    </w:p>
    <w:p w:rsidR="00763A70" w:rsidRPr="0086625E" w:rsidRDefault="00763A70" w:rsidP="00763A70">
      <w:pPr>
        <w:spacing w:line="192" w:lineRule="atLeast"/>
        <w:rPr>
          <w:rFonts w:eastAsia="Arial Unicode MS"/>
        </w:rPr>
      </w:pPr>
      <w:r w:rsidRPr="0086625E">
        <w:t>As used in this document, “Deloitte” means Deloitte LLP. Please see</w:t>
      </w:r>
      <w:r w:rsidRPr="0086625E">
        <w:rPr>
          <w:color w:val="000066"/>
        </w:rPr>
        <w:t xml:space="preserve"> </w:t>
      </w:r>
      <w:hyperlink r:id="rId20" w:history="1">
        <w:r w:rsidRPr="0086625E">
          <w:rPr>
            <w:rStyle w:val="Hyperlink"/>
          </w:rPr>
          <w:t>www.deloitte.com/us/about</w:t>
        </w:r>
      </w:hyperlink>
      <w:r w:rsidRPr="0086625E">
        <w:rPr>
          <w:color w:val="000066"/>
        </w:rPr>
        <w:t xml:space="preserve"> </w:t>
      </w:r>
      <w:r w:rsidRPr="0086625E">
        <w:t>for a detailed description of the legal structure of Deloitte LLP and its subsidiaries.</w:t>
      </w:r>
    </w:p>
    <w:p w:rsidR="00763A70" w:rsidRDefault="00763A70" w:rsidP="00763A70"/>
    <w:p w:rsidR="00C1494F" w:rsidRPr="00C1494F" w:rsidRDefault="00C1494F" w:rsidP="00C1494F">
      <w:pPr>
        <w:pStyle w:val="ListParagraph"/>
        <w:widowControl/>
        <w:tabs>
          <w:tab w:val="left" w:pos="-1440"/>
        </w:tabs>
        <w:ind w:left="2160"/>
        <w:rPr>
          <w:b/>
          <w:sz w:val="20"/>
        </w:rPr>
      </w:pPr>
      <w:r>
        <w:rPr>
          <w:b/>
          <w:sz w:val="20"/>
        </w:rPr>
        <w:t xml:space="preserve">                                            * * * * * *</w:t>
      </w:r>
    </w:p>
    <w:p w:rsidR="00C1494F" w:rsidRDefault="00C1494F" w:rsidP="00990A3E">
      <w:pPr>
        <w:widowControl/>
        <w:tabs>
          <w:tab w:val="left" w:pos="-1440"/>
        </w:tabs>
        <w:jc w:val="both"/>
        <w:rPr>
          <w:b/>
          <w:sz w:val="20"/>
        </w:rPr>
      </w:pPr>
    </w:p>
    <w:p w:rsidR="00E776CC" w:rsidRDefault="00E776CC" w:rsidP="00E776CC">
      <w:r>
        <w:rPr>
          <w:b/>
          <w:bCs/>
        </w:rPr>
        <w:t>Disclosure Regarding Forward-Looking Statements</w:t>
      </w:r>
      <w:r>
        <w:t xml:space="preserve"> </w:t>
      </w:r>
      <w:r>
        <w:br/>
      </w:r>
      <w:r>
        <w:rPr>
          <w:sz w:val="20"/>
        </w:rPr>
        <w:t>Throughout this release, we make a number of forward-looking statements within the meaning of the Private Securities Litigation Reform Act of 1995, including the anticipated effect of the acquisition on Hillenbrand’s future results. As the words imply, forward-looking statements are statements about the future, as contrasted with historical information. Our forward-looking statements are based on assumptions and current expectations of future events that we believe are reasonable, but by their very nature they are subject to a wide range of risks. If our assumptions prove inaccurate or unknown risks and uncertainties materialize, actual results could vary materially from Hillenbrand’s expectations and projections.</w:t>
      </w:r>
      <w:r>
        <w:t xml:space="preserve"> </w:t>
      </w:r>
      <w:r>
        <w:br/>
      </w:r>
      <w:r>
        <w:br/>
      </w:r>
      <w:r>
        <w:rPr>
          <w:sz w:val="20"/>
        </w:rPr>
        <w:t>Words that could indicate we’re making forward-looking statements include the following:</w:t>
      </w:r>
      <w:r>
        <w:t xml:space="preserve"> </w:t>
      </w:r>
    </w:p>
    <w:tbl>
      <w:tblPr>
        <w:tblW w:w="0" w:type="auto"/>
        <w:tblCellSpacing w:w="15" w:type="dxa"/>
        <w:tblLook w:val="04A0"/>
      </w:tblPr>
      <w:tblGrid>
        <w:gridCol w:w="720"/>
        <w:gridCol w:w="882"/>
        <w:gridCol w:w="727"/>
        <w:gridCol w:w="727"/>
        <w:gridCol w:w="738"/>
        <w:gridCol w:w="760"/>
        <w:gridCol w:w="609"/>
      </w:tblGrid>
      <w:tr w:rsidR="00E776CC" w:rsidTr="001C137B">
        <w:trPr>
          <w:tblCellSpacing w:w="15" w:type="dxa"/>
        </w:trPr>
        <w:tc>
          <w:tcPr>
            <w:tcW w:w="0" w:type="auto"/>
            <w:tcMar>
              <w:top w:w="15" w:type="dxa"/>
              <w:left w:w="15" w:type="dxa"/>
              <w:bottom w:w="15" w:type="dxa"/>
              <w:right w:w="15" w:type="dxa"/>
            </w:tcMar>
            <w:hideMark/>
          </w:tcPr>
          <w:p w:rsidR="00E776CC" w:rsidRDefault="00E776CC">
            <w:pPr>
              <w:rPr>
                <w:szCs w:val="24"/>
              </w:rPr>
            </w:pPr>
            <w:r>
              <w:rPr>
                <w:sz w:val="20"/>
              </w:rPr>
              <w:t>intend</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believe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plan</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expect</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may</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goal</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would</w:t>
            </w:r>
            <w:r>
              <w:t xml:space="preserve"> </w:t>
            </w:r>
          </w:p>
        </w:tc>
      </w:tr>
      <w:tr w:rsidR="00E776CC" w:rsidTr="001C137B">
        <w:trPr>
          <w:tblCellSpacing w:w="15" w:type="dxa"/>
        </w:trPr>
        <w:tc>
          <w:tcPr>
            <w:tcW w:w="0" w:type="auto"/>
            <w:tcMar>
              <w:top w:w="15" w:type="dxa"/>
              <w:left w:w="15" w:type="dxa"/>
              <w:bottom w:w="15" w:type="dxa"/>
              <w:right w:w="15" w:type="dxa"/>
            </w:tcMar>
            <w:hideMark/>
          </w:tcPr>
          <w:p w:rsidR="00E776CC" w:rsidRDefault="00E776CC">
            <w:pPr>
              <w:rPr>
                <w:szCs w:val="24"/>
              </w:rPr>
            </w:pPr>
            <w:r>
              <w:rPr>
                <w:sz w:val="20"/>
              </w:rPr>
              <w:t>become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pursue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estimate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will</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forecast</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continue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could</w:t>
            </w:r>
            <w:r>
              <w:t xml:space="preserve"> </w:t>
            </w:r>
          </w:p>
        </w:tc>
      </w:tr>
      <w:tr w:rsidR="00E776CC" w:rsidTr="001C137B">
        <w:trPr>
          <w:tblCellSpacing w:w="15" w:type="dxa"/>
        </w:trPr>
        <w:tc>
          <w:tcPr>
            <w:tcW w:w="0" w:type="auto"/>
            <w:tcMar>
              <w:top w:w="15" w:type="dxa"/>
              <w:left w:w="15" w:type="dxa"/>
              <w:bottom w:w="15" w:type="dxa"/>
              <w:right w:w="15" w:type="dxa"/>
            </w:tcMar>
            <w:hideMark/>
          </w:tcPr>
          <w:p w:rsidR="00E776CC" w:rsidRDefault="00E776CC">
            <w:pPr>
              <w:rPr>
                <w:szCs w:val="24"/>
              </w:rPr>
            </w:pPr>
            <w:r>
              <w:rPr>
                <w:sz w:val="20"/>
              </w:rPr>
              <w:t>targeted</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encourage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promise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improve</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progress</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potential</w:t>
            </w:r>
            <w:r>
              <w:t xml:space="preserve"> </w:t>
            </w:r>
          </w:p>
        </w:tc>
        <w:tc>
          <w:tcPr>
            <w:tcW w:w="0" w:type="auto"/>
            <w:tcMar>
              <w:top w:w="15" w:type="dxa"/>
              <w:left w:w="15" w:type="dxa"/>
              <w:bottom w:w="15" w:type="dxa"/>
              <w:right w:w="15" w:type="dxa"/>
            </w:tcMar>
            <w:hideMark/>
          </w:tcPr>
          <w:p w:rsidR="00E776CC" w:rsidRDefault="00E776CC">
            <w:pPr>
              <w:rPr>
                <w:szCs w:val="24"/>
              </w:rPr>
            </w:pPr>
            <w:r>
              <w:rPr>
                <w:sz w:val="20"/>
              </w:rPr>
              <w:t>should</w:t>
            </w:r>
          </w:p>
        </w:tc>
      </w:tr>
    </w:tbl>
    <w:p w:rsidR="00990A3E" w:rsidRDefault="00E776CC" w:rsidP="00E776CC">
      <w:pPr>
        <w:widowControl/>
        <w:tabs>
          <w:tab w:val="left" w:pos="-1440"/>
        </w:tabs>
        <w:jc w:val="both"/>
      </w:pPr>
      <w:r>
        <w:br/>
      </w:r>
      <w:r>
        <w:rPr>
          <w:sz w:val="20"/>
        </w:rPr>
        <w:t xml:space="preserve">This isn’t an exhaustive list, but is simply intended to give you an idea of how we try to identify forward-looking statements. The absence of any of these words, however, does not mean that the statement is not forward-looking. </w:t>
      </w:r>
      <w:r>
        <w:br/>
      </w:r>
      <w:r>
        <w:br/>
      </w:r>
      <w:r>
        <w:rPr>
          <w:b/>
          <w:bCs/>
          <w:sz w:val="20"/>
        </w:rPr>
        <w:t>Here’s the key point</w:t>
      </w:r>
      <w:r>
        <w:rPr>
          <w:sz w:val="20"/>
        </w:rPr>
        <w:t xml:space="preserve">: </w:t>
      </w:r>
      <w:r>
        <w:rPr>
          <w:i/>
          <w:iCs/>
          <w:sz w:val="20"/>
        </w:rPr>
        <w:t>Forward-looking statements are not guarantees of future performance, and our actual results could differ materially from those set forth in any forward-looking statements</w:t>
      </w:r>
      <w:r>
        <w:rPr>
          <w:sz w:val="20"/>
        </w:rPr>
        <w:t xml:space="preserve">. Any number of factors — many of which are beyond our control — could cause our performance to differ significantly from those described in the forward-looking statements. These factors include, but are not limited to: recent global market and economic conditions, including those related to the credit markets; volatility of our investment portfolio; adverse foreign currency fluctuations; ongoing involvement in claims, lawsuits and governmental proceedings related to operations; labor disruptions; our ability to execute a successful integration of K-Tron International; the dependence of our business units on relationships with several large national providers; increased costs or unavailability of raw materials; continued fluctuations in mortality rates and increased cremations; competition from nontraditional sources in the funeral services business; ongoing antitrust litigation; cyclical demand for industrial capital goods; and certain tax-related matters. For a more in-depth discussion of these and other factors that could cause actual results to differ from those contained in forward-looking statements, see the discussions under the heading “Risk Factors” in item 1A of Hillenbrand’s Annual Report on Form 10-K for the year ended September 30, 2009, filed with the Securities and Exchange Commission (SEC) November 24, 2009; K-Tron’s Annual Report on Form 10-K for the year ended January 2, 2010, filed with the SEC March 15, 2010; and our current report on Form 8-K, filed with the SEC July 6, 2010. The company assumes no obligation to update or revise any forward-looking information. </w:t>
      </w:r>
      <w:r>
        <w:br/>
      </w:r>
    </w:p>
    <w:sectPr w:rsidR="00990A3E" w:rsidSect="001C137B">
      <w:footerReference w:type="even" r:id="rId21"/>
      <w:footerReference w:type="default" r:id="rId22"/>
      <w:headerReference w:type="first" r:id="rId23"/>
      <w:endnotePr>
        <w:numFmt w:val="decimal"/>
      </w:endnotePr>
      <w:pgSz w:w="12240" w:h="15840" w:code="1"/>
      <w:pgMar w:top="1296" w:right="1440" w:bottom="1440" w:left="1440" w:header="720" w:footer="1008"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4F" w:rsidRDefault="00C1494F">
      <w:r>
        <w:separator/>
      </w:r>
    </w:p>
  </w:endnote>
  <w:endnote w:type="continuationSeparator" w:id="1">
    <w:p w:rsidR="00C1494F" w:rsidRDefault="00C149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4F" w:rsidRDefault="00890D38">
    <w:pPr>
      <w:pStyle w:val="Footer"/>
      <w:framePr w:wrap="around" w:vAnchor="text" w:hAnchor="margin" w:xAlign="center" w:y="1"/>
      <w:rPr>
        <w:rStyle w:val="PageNumber"/>
      </w:rPr>
    </w:pPr>
    <w:r>
      <w:rPr>
        <w:rStyle w:val="PageNumber"/>
      </w:rPr>
      <w:fldChar w:fldCharType="begin"/>
    </w:r>
    <w:r w:rsidR="00C1494F">
      <w:rPr>
        <w:rStyle w:val="PageNumber"/>
      </w:rPr>
      <w:instrText xml:space="preserve">PAGE  </w:instrText>
    </w:r>
    <w:r>
      <w:rPr>
        <w:rStyle w:val="PageNumber"/>
      </w:rPr>
      <w:fldChar w:fldCharType="separate"/>
    </w:r>
    <w:r w:rsidR="00C1494F">
      <w:rPr>
        <w:rStyle w:val="PageNumber"/>
        <w:noProof/>
      </w:rPr>
      <w:t>1</w:t>
    </w:r>
    <w:r>
      <w:rPr>
        <w:rStyle w:val="PageNumber"/>
      </w:rPr>
      <w:fldChar w:fldCharType="end"/>
    </w:r>
  </w:p>
  <w:p w:rsidR="00C1494F" w:rsidRDefault="00C149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4F" w:rsidRDefault="00890D38">
    <w:pPr>
      <w:pStyle w:val="Footer"/>
      <w:framePr w:wrap="around" w:vAnchor="text" w:hAnchor="margin" w:xAlign="center" w:y="1"/>
      <w:rPr>
        <w:rStyle w:val="PageNumber"/>
      </w:rPr>
    </w:pPr>
    <w:r>
      <w:rPr>
        <w:rStyle w:val="PageNumber"/>
      </w:rPr>
      <w:fldChar w:fldCharType="begin"/>
    </w:r>
    <w:r w:rsidR="00C1494F">
      <w:rPr>
        <w:rStyle w:val="PageNumber"/>
      </w:rPr>
      <w:instrText xml:space="preserve">PAGE  </w:instrText>
    </w:r>
    <w:r>
      <w:rPr>
        <w:rStyle w:val="PageNumber"/>
      </w:rPr>
      <w:fldChar w:fldCharType="separate"/>
    </w:r>
    <w:r w:rsidR="00857F66">
      <w:rPr>
        <w:rStyle w:val="PageNumber"/>
        <w:noProof/>
      </w:rPr>
      <w:t>2</w:t>
    </w:r>
    <w:r>
      <w:rPr>
        <w:rStyle w:val="PageNumber"/>
      </w:rPr>
      <w:fldChar w:fldCharType="end"/>
    </w:r>
  </w:p>
  <w:p w:rsidR="00C1494F" w:rsidRDefault="00C14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4F" w:rsidRDefault="00C1494F">
      <w:r>
        <w:separator/>
      </w:r>
    </w:p>
  </w:footnote>
  <w:footnote w:type="continuationSeparator" w:id="1">
    <w:p w:rsidR="00C1494F" w:rsidRDefault="00C14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4F" w:rsidRDefault="00C1494F" w:rsidP="00507CE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EB1"/>
    <w:multiLevelType w:val="hybridMultilevel"/>
    <w:tmpl w:val="12B29CE8"/>
    <w:lvl w:ilvl="0" w:tplc="F6FE031E">
      <w:start w:val="1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504210B"/>
    <w:multiLevelType w:val="hybridMultilevel"/>
    <w:tmpl w:val="BA18B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02CB2"/>
    <w:multiLevelType w:val="hybridMultilevel"/>
    <w:tmpl w:val="66D43DCC"/>
    <w:lvl w:ilvl="0" w:tplc="494C564E">
      <w:start w:val="1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0119B3"/>
    <w:multiLevelType w:val="hybridMultilevel"/>
    <w:tmpl w:val="8116BE6E"/>
    <w:lvl w:ilvl="0" w:tplc="29ACF4F2">
      <w:start w:val="1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7D61C0C"/>
    <w:multiLevelType w:val="hybridMultilevel"/>
    <w:tmpl w:val="3350E56E"/>
    <w:lvl w:ilvl="0" w:tplc="DF2672F8">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E3529"/>
    <w:multiLevelType w:val="hybridMultilevel"/>
    <w:tmpl w:val="2DD6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1039F5"/>
    <w:multiLevelType w:val="hybridMultilevel"/>
    <w:tmpl w:val="D5967EFE"/>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rsids>
    <w:rsidRoot w:val="002605EF"/>
    <w:rsid w:val="00000A05"/>
    <w:rsid w:val="00013EF1"/>
    <w:rsid w:val="00014CD4"/>
    <w:rsid w:val="00023877"/>
    <w:rsid w:val="00044151"/>
    <w:rsid w:val="00072247"/>
    <w:rsid w:val="00080333"/>
    <w:rsid w:val="00085D9D"/>
    <w:rsid w:val="000867FB"/>
    <w:rsid w:val="00087B77"/>
    <w:rsid w:val="0009353B"/>
    <w:rsid w:val="000A633C"/>
    <w:rsid w:val="000B4702"/>
    <w:rsid w:val="000C4B5D"/>
    <w:rsid w:val="000C5D12"/>
    <w:rsid w:val="000D0347"/>
    <w:rsid w:val="000F6496"/>
    <w:rsid w:val="001405BD"/>
    <w:rsid w:val="00154217"/>
    <w:rsid w:val="001716B7"/>
    <w:rsid w:val="001726FC"/>
    <w:rsid w:val="00175B37"/>
    <w:rsid w:val="00182ACC"/>
    <w:rsid w:val="00183030"/>
    <w:rsid w:val="00194947"/>
    <w:rsid w:val="00197F88"/>
    <w:rsid w:val="001A1CBF"/>
    <w:rsid w:val="001A4E91"/>
    <w:rsid w:val="001A578E"/>
    <w:rsid w:val="001B5E67"/>
    <w:rsid w:val="001C137B"/>
    <w:rsid w:val="001C726D"/>
    <w:rsid w:val="001D1DEC"/>
    <w:rsid w:val="001D3C26"/>
    <w:rsid w:val="001D6006"/>
    <w:rsid w:val="00211D25"/>
    <w:rsid w:val="0021281B"/>
    <w:rsid w:val="00220909"/>
    <w:rsid w:val="002218E8"/>
    <w:rsid w:val="002364A2"/>
    <w:rsid w:val="00236E27"/>
    <w:rsid w:val="00240DB6"/>
    <w:rsid w:val="00246826"/>
    <w:rsid w:val="0025601A"/>
    <w:rsid w:val="0025639E"/>
    <w:rsid w:val="002578FF"/>
    <w:rsid w:val="002605EF"/>
    <w:rsid w:val="00263959"/>
    <w:rsid w:val="00265BD0"/>
    <w:rsid w:val="002778A4"/>
    <w:rsid w:val="00277E25"/>
    <w:rsid w:val="002B0302"/>
    <w:rsid w:val="002B561F"/>
    <w:rsid w:val="002C3D9F"/>
    <w:rsid w:val="002C3E72"/>
    <w:rsid w:val="002E184D"/>
    <w:rsid w:val="00300998"/>
    <w:rsid w:val="00316070"/>
    <w:rsid w:val="00324590"/>
    <w:rsid w:val="003453D6"/>
    <w:rsid w:val="003467B9"/>
    <w:rsid w:val="003654EE"/>
    <w:rsid w:val="00370C08"/>
    <w:rsid w:val="00381172"/>
    <w:rsid w:val="00382986"/>
    <w:rsid w:val="003B2913"/>
    <w:rsid w:val="003B4A94"/>
    <w:rsid w:val="003B7C4C"/>
    <w:rsid w:val="003C1106"/>
    <w:rsid w:val="003C4A80"/>
    <w:rsid w:val="003D1274"/>
    <w:rsid w:val="003D3522"/>
    <w:rsid w:val="003F2C03"/>
    <w:rsid w:val="003F4AA9"/>
    <w:rsid w:val="0041368A"/>
    <w:rsid w:val="004373D0"/>
    <w:rsid w:val="004415E0"/>
    <w:rsid w:val="004805C3"/>
    <w:rsid w:val="0048208F"/>
    <w:rsid w:val="0049123A"/>
    <w:rsid w:val="00491995"/>
    <w:rsid w:val="00495671"/>
    <w:rsid w:val="004B198C"/>
    <w:rsid w:val="004B2DB0"/>
    <w:rsid w:val="004B37D8"/>
    <w:rsid w:val="004B7C70"/>
    <w:rsid w:val="004D394A"/>
    <w:rsid w:val="004E01F5"/>
    <w:rsid w:val="004E4465"/>
    <w:rsid w:val="004E7750"/>
    <w:rsid w:val="00507763"/>
    <w:rsid w:val="00507CEC"/>
    <w:rsid w:val="00511FA4"/>
    <w:rsid w:val="00514BFB"/>
    <w:rsid w:val="00521657"/>
    <w:rsid w:val="00535231"/>
    <w:rsid w:val="005510B9"/>
    <w:rsid w:val="00552ACC"/>
    <w:rsid w:val="0055779B"/>
    <w:rsid w:val="005712C4"/>
    <w:rsid w:val="00574003"/>
    <w:rsid w:val="00574858"/>
    <w:rsid w:val="00576F5C"/>
    <w:rsid w:val="00583972"/>
    <w:rsid w:val="00595345"/>
    <w:rsid w:val="005B085A"/>
    <w:rsid w:val="005C21FE"/>
    <w:rsid w:val="005C4754"/>
    <w:rsid w:val="00600CE8"/>
    <w:rsid w:val="00605D67"/>
    <w:rsid w:val="00617D17"/>
    <w:rsid w:val="00632630"/>
    <w:rsid w:val="0063662C"/>
    <w:rsid w:val="00644D86"/>
    <w:rsid w:val="0064645A"/>
    <w:rsid w:val="00656023"/>
    <w:rsid w:val="00670074"/>
    <w:rsid w:val="00671AEB"/>
    <w:rsid w:val="00683B8D"/>
    <w:rsid w:val="006874DE"/>
    <w:rsid w:val="006A4C50"/>
    <w:rsid w:val="006B0FFA"/>
    <w:rsid w:val="006B496C"/>
    <w:rsid w:val="006B7DEF"/>
    <w:rsid w:val="006C3C9D"/>
    <w:rsid w:val="006E38BF"/>
    <w:rsid w:val="006F5D69"/>
    <w:rsid w:val="00717F38"/>
    <w:rsid w:val="00732C0C"/>
    <w:rsid w:val="00747945"/>
    <w:rsid w:val="00763A70"/>
    <w:rsid w:val="00780426"/>
    <w:rsid w:val="007840B9"/>
    <w:rsid w:val="00784DB1"/>
    <w:rsid w:val="00786CCC"/>
    <w:rsid w:val="007A5F0C"/>
    <w:rsid w:val="007C486B"/>
    <w:rsid w:val="007D1929"/>
    <w:rsid w:val="007D5532"/>
    <w:rsid w:val="007E66CB"/>
    <w:rsid w:val="007F0044"/>
    <w:rsid w:val="007F1218"/>
    <w:rsid w:val="007F30C2"/>
    <w:rsid w:val="00820DAC"/>
    <w:rsid w:val="008242A0"/>
    <w:rsid w:val="008414E7"/>
    <w:rsid w:val="00847D0F"/>
    <w:rsid w:val="008505A6"/>
    <w:rsid w:val="00857F66"/>
    <w:rsid w:val="00867218"/>
    <w:rsid w:val="00867F87"/>
    <w:rsid w:val="00890D38"/>
    <w:rsid w:val="0089422E"/>
    <w:rsid w:val="008A0D21"/>
    <w:rsid w:val="008A1A84"/>
    <w:rsid w:val="008B32A3"/>
    <w:rsid w:val="008C6B25"/>
    <w:rsid w:val="008D6D24"/>
    <w:rsid w:val="00901024"/>
    <w:rsid w:val="00912B56"/>
    <w:rsid w:val="00920A6C"/>
    <w:rsid w:val="00924514"/>
    <w:rsid w:val="00990A3E"/>
    <w:rsid w:val="00992022"/>
    <w:rsid w:val="00992F79"/>
    <w:rsid w:val="009B62CD"/>
    <w:rsid w:val="009D6651"/>
    <w:rsid w:val="00A34739"/>
    <w:rsid w:val="00A3523D"/>
    <w:rsid w:val="00A4308C"/>
    <w:rsid w:val="00A50E45"/>
    <w:rsid w:val="00A71797"/>
    <w:rsid w:val="00A77A4D"/>
    <w:rsid w:val="00A97688"/>
    <w:rsid w:val="00AB00D5"/>
    <w:rsid w:val="00AB2328"/>
    <w:rsid w:val="00AB3630"/>
    <w:rsid w:val="00AB39EF"/>
    <w:rsid w:val="00AF10EF"/>
    <w:rsid w:val="00AF3C94"/>
    <w:rsid w:val="00B06681"/>
    <w:rsid w:val="00B12417"/>
    <w:rsid w:val="00B3126B"/>
    <w:rsid w:val="00B3232F"/>
    <w:rsid w:val="00B43F1F"/>
    <w:rsid w:val="00B46A26"/>
    <w:rsid w:val="00B526CF"/>
    <w:rsid w:val="00B63B3B"/>
    <w:rsid w:val="00B818A7"/>
    <w:rsid w:val="00B83777"/>
    <w:rsid w:val="00B97981"/>
    <w:rsid w:val="00BA4343"/>
    <w:rsid w:val="00BA5C46"/>
    <w:rsid w:val="00C01014"/>
    <w:rsid w:val="00C1494F"/>
    <w:rsid w:val="00C3644A"/>
    <w:rsid w:val="00C4385E"/>
    <w:rsid w:val="00C43D1D"/>
    <w:rsid w:val="00C45306"/>
    <w:rsid w:val="00C61208"/>
    <w:rsid w:val="00C771BF"/>
    <w:rsid w:val="00C92D1C"/>
    <w:rsid w:val="00C9424C"/>
    <w:rsid w:val="00CB1297"/>
    <w:rsid w:val="00CB2AE0"/>
    <w:rsid w:val="00CB59BC"/>
    <w:rsid w:val="00CC4072"/>
    <w:rsid w:val="00CD174D"/>
    <w:rsid w:val="00CE27A1"/>
    <w:rsid w:val="00D05461"/>
    <w:rsid w:val="00D14F12"/>
    <w:rsid w:val="00D4258C"/>
    <w:rsid w:val="00D45899"/>
    <w:rsid w:val="00D47DD1"/>
    <w:rsid w:val="00D81606"/>
    <w:rsid w:val="00D842CF"/>
    <w:rsid w:val="00D924BA"/>
    <w:rsid w:val="00D973EE"/>
    <w:rsid w:val="00DA2D7C"/>
    <w:rsid w:val="00DA313D"/>
    <w:rsid w:val="00DC0C1A"/>
    <w:rsid w:val="00DC6221"/>
    <w:rsid w:val="00DD221F"/>
    <w:rsid w:val="00DD7999"/>
    <w:rsid w:val="00DE0ECF"/>
    <w:rsid w:val="00DF36D5"/>
    <w:rsid w:val="00DF66A8"/>
    <w:rsid w:val="00DF750D"/>
    <w:rsid w:val="00E04B5D"/>
    <w:rsid w:val="00E109D2"/>
    <w:rsid w:val="00E17963"/>
    <w:rsid w:val="00E262F2"/>
    <w:rsid w:val="00E352D8"/>
    <w:rsid w:val="00E376E7"/>
    <w:rsid w:val="00E37C01"/>
    <w:rsid w:val="00E438DC"/>
    <w:rsid w:val="00E44119"/>
    <w:rsid w:val="00E45B4C"/>
    <w:rsid w:val="00E508ED"/>
    <w:rsid w:val="00E7052D"/>
    <w:rsid w:val="00E776CC"/>
    <w:rsid w:val="00E97614"/>
    <w:rsid w:val="00EA5F9C"/>
    <w:rsid w:val="00EB35A5"/>
    <w:rsid w:val="00EC4C09"/>
    <w:rsid w:val="00EE3576"/>
    <w:rsid w:val="00EE7A15"/>
    <w:rsid w:val="00EF65FF"/>
    <w:rsid w:val="00F33626"/>
    <w:rsid w:val="00F34366"/>
    <w:rsid w:val="00F41DE7"/>
    <w:rsid w:val="00F531C8"/>
    <w:rsid w:val="00F65246"/>
    <w:rsid w:val="00F664FC"/>
    <w:rsid w:val="00F77DE2"/>
    <w:rsid w:val="00F8295A"/>
    <w:rsid w:val="00F86317"/>
    <w:rsid w:val="00F86E05"/>
    <w:rsid w:val="00FB0BCE"/>
    <w:rsid w:val="00FB40DE"/>
    <w:rsid w:val="00FB6BF0"/>
    <w:rsid w:val="00FC1DA1"/>
    <w:rsid w:val="00FC1ED3"/>
    <w:rsid w:val="00FC2D67"/>
    <w:rsid w:val="00FC5836"/>
    <w:rsid w:val="00FD7B4B"/>
    <w:rsid w:val="00FE54AD"/>
    <w:rsid w:val="00FE5BB3"/>
    <w:rsid w:val="00FF1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A6C"/>
    <w:pPr>
      <w:widowControl w:val="0"/>
    </w:pPr>
    <w:rPr>
      <w:snapToGrid w:val="0"/>
      <w:sz w:val="24"/>
    </w:rPr>
  </w:style>
  <w:style w:type="paragraph" w:styleId="Heading1">
    <w:name w:val="heading 1"/>
    <w:basedOn w:val="Normal"/>
    <w:next w:val="Normal"/>
    <w:qFormat/>
    <w:rsid w:val="00920A6C"/>
    <w:pPr>
      <w:keepNext/>
      <w:outlineLvl w:val="0"/>
    </w:pPr>
    <w:rPr>
      <w:rFonts w:ascii="Arial" w:hAnsi="Arial"/>
      <w:b/>
      <w:sz w:val="52"/>
    </w:rPr>
  </w:style>
  <w:style w:type="paragraph" w:styleId="Heading2">
    <w:name w:val="heading 2"/>
    <w:basedOn w:val="Normal"/>
    <w:next w:val="Normal"/>
    <w:qFormat/>
    <w:rsid w:val="00920A6C"/>
    <w:pPr>
      <w:keepNext/>
      <w:outlineLvl w:val="1"/>
    </w:pPr>
    <w:rPr>
      <w:u w:val="single"/>
    </w:rPr>
  </w:style>
  <w:style w:type="paragraph" w:styleId="Heading3">
    <w:name w:val="heading 3"/>
    <w:basedOn w:val="Normal"/>
    <w:next w:val="Normal"/>
    <w:qFormat/>
    <w:rsid w:val="00920A6C"/>
    <w:pPr>
      <w:keepNext/>
      <w:jc w:val="center"/>
      <w:outlineLvl w:val="2"/>
    </w:pPr>
    <w:rPr>
      <w:u w:val="single"/>
    </w:rPr>
  </w:style>
  <w:style w:type="paragraph" w:styleId="Heading4">
    <w:name w:val="heading 4"/>
    <w:basedOn w:val="Normal"/>
    <w:next w:val="Normal"/>
    <w:qFormat/>
    <w:rsid w:val="00920A6C"/>
    <w:pPr>
      <w:keepNext/>
      <w:outlineLvl w:val="3"/>
    </w:pPr>
    <w:rPr>
      <w:b/>
      <w:bCs/>
    </w:rPr>
  </w:style>
  <w:style w:type="paragraph" w:styleId="Heading5">
    <w:name w:val="heading 5"/>
    <w:basedOn w:val="Normal"/>
    <w:next w:val="Normal"/>
    <w:qFormat/>
    <w:rsid w:val="00920A6C"/>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20A6C"/>
  </w:style>
  <w:style w:type="paragraph" w:styleId="BodyTextIndent">
    <w:name w:val="Body Text Indent"/>
    <w:basedOn w:val="Normal"/>
    <w:rsid w:val="00920A6C"/>
    <w:pPr>
      <w:ind w:left="1440"/>
    </w:pPr>
  </w:style>
  <w:style w:type="paragraph" w:styleId="Footer">
    <w:name w:val="footer"/>
    <w:basedOn w:val="Normal"/>
    <w:rsid w:val="00920A6C"/>
    <w:pPr>
      <w:tabs>
        <w:tab w:val="center" w:pos="4320"/>
        <w:tab w:val="right" w:pos="8640"/>
      </w:tabs>
    </w:pPr>
  </w:style>
  <w:style w:type="character" w:styleId="PageNumber">
    <w:name w:val="page number"/>
    <w:basedOn w:val="DefaultParagraphFont"/>
    <w:rsid w:val="00920A6C"/>
  </w:style>
  <w:style w:type="paragraph" w:styleId="BodyText">
    <w:name w:val="Body Text"/>
    <w:basedOn w:val="Normal"/>
    <w:rsid w:val="00920A6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Pr>
      <w:rFonts w:ascii="Times New" w:hAnsi="Times New"/>
      <w:i/>
    </w:rPr>
  </w:style>
  <w:style w:type="paragraph" w:styleId="BodyText2">
    <w:name w:val="Body Text 2"/>
    <w:basedOn w:val="Normal"/>
    <w:rsid w:val="00920A6C"/>
    <w:rPr>
      <w:b/>
      <w:bCs/>
    </w:rPr>
  </w:style>
  <w:style w:type="paragraph" w:styleId="BodyText3">
    <w:name w:val="Body Text 3"/>
    <w:basedOn w:val="Normal"/>
    <w:rsid w:val="00920A6C"/>
    <w:rPr>
      <w:b/>
      <w:bCs/>
      <w:color w:val="FF0000"/>
    </w:rPr>
  </w:style>
  <w:style w:type="character" w:styleId="Hyperlink">
    <w:name w:val="Hyperlink"/>
    <w:basedOn w:val="DefaultParagraphFont"/>
    <w:rsid w:val="00920A6C"/>
    <w:rPr>
      <w:color w:val="0000FF"/>
      <w:u w:val="single"/>
    </w:rPr>
  </w:style>
  <w:style w:type="paragraph" w:styleId="Header">
    <w:name w:val="header"/>
    <w:basedOn w:val="Normal"/>
    <w:rsid w:val="00507CEC"/>
    <w:pPr>
      <w:tabs>
        <w:tab w:val="center" w:pos="4320"/>
        <w:tab w:val="right" w:pos="8640"/>
      </w:tabs>
    </w:pPr>
  </w:style>
  <w:style w:type="paragraph" w:styleId="BalloonText">
    <w:name w:val="Balloon Text"/>
    <w:basedOn w:val="Normal"/>
    <w:semiHidden/>
    <w:rsid w:val="00194947"/>
    <w:rPr>
      <w:rFonts w:ascii="Tahoma" w:hAnsi="Tahoma" w:cs="Tahoma"/>
      <w:sz w:val="16"/>
      <w:szCs w:val="16"/>
    </w:rPr>
  </w:style>
  <w:style w:type="paragraph" w:styleId="ListParagraph">
    <w:name w:val="List Paragraph"/>
    <w:basedOn w:val="Normal"/>
    <w:uiPriority w:val="34"/>
    <w:qFormat/>
    <w:rsid w:val="00C1494F"/>
    <w:pPr>
      <w:ind w:left="720"/>
      <w:contextualSpacing/>
    </w:pPr>
  </w:style>
</w:styles>
</file>

<file path=word/webSettings.xml><?xml version="1.0" encoding="utf-8"?>
<w:webSettings xmlns:r="http://schemas.openxmlformats.org/officeDocument/2006/relationships" xmlns:w="http://schemas.openxmlformats.org/wordprocessingml/2006/main">
  <w:divs>
    <w:div w:id="169875501">
      <w:bodyDiv w:val="1"/>
      <w:marLeft w:val="0"/>
      <w:marRight w:val="0"/>
      <w:marTop w:val="0"/>
      <w:marBottom w:val="0"/>
      <w:divBdr>
        <w:top w:val="none" w:sz="0" w:space="0" w:color="auto"/>
        <w:left w:val="none" w:sz="0" w:space="0" w:color="auto"/>
        <w:bottom w:val="none" w:sz="0" w:space="0" w:color="auto"/>
        <w:right w:val="none" w:sz="0" w:space="0" w:color="auto"/>
      </w:divBdr>
    </w:div>
    <w:div w:id="518665949">
      <w:bodyDiv w:val="1"/>
      <w:marLeft w:val="0"/>
      <w:marRight w:val="0"/>
      <w:marTop w:val="0"/>
      <w:marBottom w:val="0"/>
      <w:divBdr>
        <w:top w:val="none" w:sz="0" w:space="0" w:color="auto"/>
        <w:left w:val="none" w:sz="0" w:space="0" w:color="auto"/>
        <w:bottom w:val="none" w:sz="0" w:space="0" w:color="auto"/>
        <w:right w:val="none" w:sz="0" w:space="0" w:color="auto"/>
      </w:divBdr>
    </w:div>
    <w:div w:id="954754408">
      <w:bodyDiv w:val="1"/>
      <w:marLeft w:val="0"/>
      <w:marRight w:val="0"/>
      <w:marTop w:val="0"/>
      <w:marBottom w:val="0"/>
      <w:divBdr>
        <w:top w:val="none" w:sz="0" w:space="0" w:color="auto"/>
        <w:left w:val="none" w:sz="0" w:space="0" w:color="auto"/>
        <w:bottom w:val="none" w:sz="0" w:space="0" w:color="auto"/>
        <w:right w:val="none" w:sz="0" w:space="0" w:color="auto"/>
      </w:divBdr>
    </w:div>
    <w:div w:id="1055549306">
      <w:bodyDiv w:val="1"/>
      <w:marLeft w:val="0"/>
      <w:marRight w:val="0"/>
      <w:marTop w:val="0"/>
      <w:marBottom w:val="0"/>
      <w:divBdr>
        <w:top w:val="none" w:sz="0" w:space="0" w:color="auto"/>
        <w:left w:val="none" w:sz="0" w:space="0" w:color="auto"/>
        <w:bottom w:val="none" w:sz="0" w:space="0" w:color="auto"/>
        <w:right w:val="none" w:sz="0" w:space="0" w:color="auto"/>
      </w:divBdr>
    </w:div>
    <w:div w:id="14351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batesville.com" TargetMode="External"/><Relationship Id="rId18" Type="http://schemas.openxmlformats.org/officeDocument/2006/relationships/hyperlink" Target="http://www.gundlachcrusher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www.HillenbrandInc.com" TargetMode="External"/><Relationship Id="rId17" Type="http://schemas.openxmlformats.org/officeDocument/2006/relationships/hyperlink" Target="http://www.penncrushe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tronpremier.com" TargetMode="External"/><Relationship Id="rId20" Type="http://schemas.openxmlformats.org/officeDocument/2006/relationships/hyperlink" Target="http://www.deloitte.com/us/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loitte.com/us/phillyfast5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tron.com" TargetMode="External"/><Relationship Id="rId23" Type="http://schemas.openxmlformats.org/officeDocument/2006/relationships/header" Target="header1.xml"/><Relationship Id="rId10" Type="http://schemas.openxmlformats.org/officeDocument/2006/relationships/hyperlink" Target="mailto:rwisniewski@ktron.com" TargetMode="External"/><Relationship Id="rId19" Type="http://schemas.openxmlformats.org/officeDocument/2006/relationships/hyperlink" Target="http://www.jeffreyrader.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troninternationa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K-Tron America, Inc.</Company>
  <LinksUpToDate>false</LinksUpToDate>
  <CharactersWithSpaces>7252</CharactersWithSpaces>
  <SharedDoc>false</SharedDoc>
  <HLinks>
    <vt:vector size="6" baseType="variant">
      <vt:variant>
        <vt:i4>1114145</vt:i4>
      </vt:variant>
      <vt:variant>
        <vt:i4>3</vt:i4>
      </vt:variant>
      <vt:variant>
        <vt:i4>0</vt:i4>
      </vt:variant>
      <vt:variant>
        <vt:i4>5</vt:i4>
      </vt:variant>
      <vt:variant>
        <vt:lpwstr>mailto:rwisniewski@ktron.com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vaccara</dc:creator>
  <cp:lastModifiedBy>jmcmorris</cp:lastModifiedBy>
  <cp:revision>8</cp:revision>
  <cp:lastPrinted>2010-11-01T15:27:00Z</cp:lastPrinted>
  <dcterms:created xsi:type="dcterms:W3CDTF">2010-10-27T14:47:00Z</dcterms:created>
  <dcterms:modified xsi:type="dcterms:W3CDTF">2010-11-01T17:48:00Z</dcterms:modified>
</cp:coreProperties>
</file>