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C2" w:rsidRPr="004D6F4D" w:rsidRDefault="00D50DC2" w:rsidP="00D50DC2">
      <w:pPr>
        <w:pStyle w:val="TSHeader"/>
      </w:pPr>
      <w:r>
        <w:t xml:space="preserve">FHA Mortgage Insurance </w:t>
      </w:r>
      <w:r w:rsidRPr="004D6F4D">
        <w:t xml:space="preserve">Programs </w:t>
      </w:r>
    </w:p>
    <w:p w:rsidR="00D50DC2" w:rsidRDefault="00D50DC2" w:rsidP="00D50DC2">
      <w:pPr>
        <w:pStyle w:val="TSHeader"/>
      </w:pPr>
      <w:r w:rsidRPr="004D6F4D">
        <w:t>Section 221(d)(4)</w:t>
      </w:r>
    </w:p>
    <w:p w:rsidR="00D50DC2" w:rsidRPr="004D6F4D" w:rsidRDefault="00D50DC2" w:rsidP="00D50DC2">
      <w:pPr>
        <w:pStyle w:val="TSSubhead"/>
      </w:pPr>
      <w:r w:rsidRPr="004D6F4D">
        <w:t>Apartment New Construction/Substantial Rehabilitation</w:t>
      </w:r>
    </w:p>
    <w:p w:rsidR="00F6158D" w:rsidRPr="00026AD8" w:rsidRDefault="00F6158D" w:rsidP="006922B8">
      <w:pPr>
        <w:jc w:val="both"/>
        <w:rPr>
          <w:color w:val="000000"/>
          <w:sz w:val="19"/>
          <w:szCs w:val="19"/>
        </w:rPr>
      </w:pPr>
    </w:p>
    <w:tbl>
      <w:tblPr>
        <w:tblW w:w="10370" w:type="dxa"/>
        <w:tblLook w:val="01E0" w:firstRow="1" w:lastRow="1" w:firstColumn="1" w:lastColumn="1" w:noHBand="0" w:noVBand="0"/>
      </w:tblPr>
      <w:tblGrid>
        <w:gridCol w:w="2360"/>
        <w:gridCol w:w="8010"/>
      </w:tblGrid>
      <w:tr w:rsidR="00EB049A" w:rsidRPr="00854DF2" w:rsidTr="005F1C30">
        <w:tc>
          <w:tcPr>
            <w:tcW w:w="10370" w:type="dxa"/>
            <w:gridSpan w:val="2"/>
            <w:shd w:val="clear" w:color="auto" w:fill="auto"/>
            <w:tcMar>
              <w:top w:w="0" w:type="dxa"/>
              <w:left w:w="20" w:type="dxa"/>
              <w:bottom w:w="72" w:type="dxa"/>
              <w:right w:w="20" w:type="dxa"/>
            </w:tcMar>
          </w:tcPr>
          <w:p w:rsidR="00EB049A" w:rsidRPr="00854DF2" w:rsidRDefault="00D50DC2" w:rsidP="00D50DC2">
            <w:pPr>
              <w:pStyle w:val="TSBodyCopy"/>
            </w:pPr>
            <w:r w:rsidRPr="00CD44D4">
              <w:rPr>
                <w:b/>
                <w:color w:val="CC0000"/>
              </w:rPr>
              <w:t>Red</w:t>
            </w:r>
            <w:r w:rsidRPr="004D6F4D">
              <w:rPr>
                <w:b/>
              </w:rPr>
              <w:t xml:space="preserve"> Mortgage Capital</w:t>
            </w:r>
            <w:r>
              <w:rPr>
                <w:b/>
              </w:rPr>
              <w:t>, LLC</w:t>
            </w:r>
            <w:r w:rsidRPr="004D6F4D">
              <w:t xml:space="preserve"> is a leading FHA-approved Mortgagee and MAP/LEAN lender </w:t>
            </w:r>
            <w:r>
              <w:t>that actively underwrites, funds and services FHA insured mortgage loans for multifamily housing, seniors housing, assisted living and skilled care properties nationwide.</w:t>
            </w:r>
            <w:r w:rsidRPr="004D6F4D">
              <w:t xml:space="preserve"> </w:t>
            </w:r>
          </w:p>
        </w:tc>
      </w:tr>
      <w:tr w:rsidR="00F9196C" w:rsidRPr="00854DF2" w:rsidTr="005F1C30">
        <w:tc>
          <w:tcPr>
            <w:tcW w:w="2360" w:type="dxa"/>
            <w:shd w:val="clear" w:color="auto" w:fill="auto"/>
            <w:tcMar>
              <w:top w:w="0" w:type="dxa"/>
              <w:left w:w="20" w:type="dxa"/>
              <w:bottom w:w="72" w:type="dxa"/>
              <w:right w:w="20" w:type="dxa"/>
            </w:tcMar>
          </w:tcPr>
          <w:p w:rsidR="00062D40" w:rsidRPr="00D50DC2" w:rsidRDefault="00D50DC2" w:rsidP="00D50DC2">
            <w:pPr>
              <w:pStyle w:val="TSSectionHeader"/>
            </w:pPr>
            <w:r w:rsidRPr="00D50DC2">
              <w:t>Program Purpose:</w:t>
            </w:r>
          </w:p>
        </w:tc>
        <w:tc>
          <w:tcPr>
            <w:tcW w:w="8010" w:type="dxa"/>
            <w:shd w:val="clear" w:color="auto" w:fill="auto"/>
            <w:tcMar>
              <w:top w:w="0" w:type="dxa"/>
              <w:left w:w="43" w:type="dxa"/>
              <w:bottom w:w="72" w:type="dxa"/>
              <w:right w:w="43" w:type="dxa"/>
            </w:tcMar>
          </w:tcPr>
          <w:p w:rsidR="00380E00" w:rsidRPr="00854DF2" w:rsidRDefault="00D50DC2" w:rsidP="00D50DC2">
            <w:pPr>
              <w:pStyle w:val="TSBodyCopy"/>
            </w:pPr>
            <w:r w:rsidRPr="009D0BE4">
              <w:t>Provides mortgage insurance for the new construction and substantial rehabilitation of apartment projects, including independent living projects for seniors (age 62 years and older with no services).  This program provides for both construction and permanent financing.</w:t>
            </w:r>
          </w:p>
        </w:tc>
      </w:tr>
      <w:tr w:rsidR="00380E00" w:rsidRPr="00854DF2" w:rsidTr="005F1C30">
        <w:tc>
          <w:tcPr>
            <w:tcW w:w="2360" w:type="dxa"/>
            <w:shd w:val="clear" w:color="auto" w:fill="auto"/>
            <w:tcMar>
              <w:top w:w="0" w:type="dxa"/>
              <w:left w:w="20" w:type="dxa"/>
              <w:bottom w:w="72" w:type="dxa"/>
              <w:right w:w="20" w:type="dxa"/>
            </w:tcMar>
          </w:tcPr>
          <w:p w:rsidR="00380E00" w:rsidRPr="00D50DC2" w:rsidRDefault="00D50DC2" w:rsidP="00D50DC2">
            <w:pPr>
              <w:pStyle w:val="TSSectionHeader"/>
            </w:pPr>
            <w:r w:rsidRPr="00D50DC2">
              <w:t>Eligible Borrowers:</w:t>
            </w:r>
          </w:p>
        </w:tc>
        <w:tc>
          <w:tcPr>
            <w:tcW w:w="8010" w:type="dxa"/>
            <w:shd w:val="clear" w:color="auto" w:fill="auto"/>
            <w:tcMar>
              <w:top w:w="0" w:type="dxa"/>
              <w:left w:w="43" w:type="dxa"/>
              <w:bottom w:w="72" w:type="dxa"/>
              <w:right w:w="43" w:type="dxa"/>
            </w:tcMar>
          </w:tcPr>
          <w:p w:rsidR="00343113" w:rsidRPr="00854DF2" w:rsidRDefault="00D50DC2" w:rsidP="00D50DC2">
            <w:pPr>
              <w:pStyle w:val="TSBodyCopy"/>
            </w:pPr>
            <w:r w:rsidRPr="009D0BE4">
              <w:t>Profit motivated single purpose entities (note: a non-profit can be the general partner of a profit motivated single purpose ownership entity).</w:t>
            </w:r>
          </w:p>
        </w:tc>
      </w:tr>
      <w:tr w:rsidR="00380E00" w:rsidRPr="00854DF2" w:rsidTr="005F1C30">
        <w:tc>
          <w:tcPr>
            <w:tcW w:w="2360" w:type="dxa"/>
            <w:shd w:val="clear" w:color="auto" w:fill="auto"/>
            <w:tcMar>
              <w:top w:w="0" w:type="dxa"/>
              <w:left w:w="20" w:type="dxa"/>
              <w:bottom w:w="72" w:type="dxa"/>
              <w:right w:w="20" w:type="dxa"/>
            </w:tcMar>
          </w:tcPr>
          <w:p w:rsidR="00380E00" w:rsidRPr="00D50DC2" w:rsidRDefault="00D50DC2" w:rsidP="00D50DC2">
            <w:pPr>
              <w:pStyle w:val="TSSectionHeader"/>
            </w:pPr>
            <w:r w:rsidRPr="00D50DC2">
              <w:t>Eligible Asset Type:</w:t>
            </w:r>
          </w:p>
        </w:tc>
        <w:tc>
          <w:tcPr>
            <w:tcW w:w="8010" w:type="dxa"/>
            <w:shd w:val="clear" w:color="auto" w:fill="auto"/>
            <w:tcMar>
              <w:top w:w="0" w:type="dxa"/>
              <w:left w:w="43" w:type="dxa"/>
              <w:bottom w:w="72" w:type="dxa"/>
              <w:right w:w="43" w:type="dxa"/>
            </w:tcMar>
          </w:tcPr>
          <w:p w:rsidR="00F06169" w:rsidRPr="00854DF2" w:rsidRDefault="00D50DC2" w:rsidP="00D50DC2">
            <w:pPr>
              <w:pStyle w:val="TSBodyCopy"/>
            </w:pPr>
            <w:r w:rsidRPr="009D0BE4">
              <w:t>Market rate, affordable,</w:t>
            </w:r>
            <w:r w:rsidRPr="009D0BE4">
              <w:rPr>
                <w:vertAlign w:val="superscript"/>
              </w:rPr>
              <w:t>(1)</w:t>
            </w:r>
            <w:r w:rsidRPr="009D0BE4">
              <w:t xml:space="preserve"> or rental assisted</w:t>
            </w:r>
            <w:r w:rsidRPr="009D0BE4">
              <w:rPr>
                <w:vertAlign w:val="superscript"/>
              </w:rPr>
              <w:t>(2)</w:t>
            </w:r>
            <w:r w:rsidRPr="009D0BE4">
              <w:t xml:space="preserve"> properties.</w:t>
            </w:r>
          </w:p>
        </w:tc>
      </w:tr>
      <w:tr w:rsidR="00380E00" w:rsidRPr="00854DF2" w:rsidTr="005F1C30">
        <w:tc>
          <w:tcPr>
            <w:tcW w:w="2360" w:type="dxa"/>
            <w:shd w:val="clear" w:color="auto" w:fill="auto"/>
            <w:tcMar>
              <w:top w:w="0" w:type="dxa"/>
              <w:left w:w="20" w:type="dxa"/>
              <w:bottom w:w="72" w:type="dxa"/>
              <w:right w:w="20" w:type="dxa"/>
            </w:tcMar>
          </w:tcPr>
          <w:p w:rsidR="00380E00" w:rsidRPr="00854DF2" w:rsidRDefault="00D50DC2" w:rsidP="00D50DC2">
            <w:pPr>
              <w:pStyle w:val="TSBodyCopy"/>
            </w:pPr>
            <w:r w:rsidRPr="009D0BE4">
              <w:rPr>
                <w:rFonts w:ascii="Arial" w:hAnsi="Arial" w:cs="Arial"/>
                <w:b/>
              </w:rPr>
              <w:t>Maximum Loan:</w:t>
            </w:r>
          </w:p>
        </w:tc>
        <w:tc>
          <w:tcPr>
            <w:tcW w:w="8010" w:type="dxa"/>
            <w:shd w:val="clear" w:color="auto" w:fill="auto"/>
            <w:tcMar>
              <w:top w:w="0" w:type="dxa"/>
              <w:left w:w="43" w:type="dxa"/>
              <w:bottom w:w="72" w:type="dxa"/>
              <w:right w:w="43" w:type="dxa"/>
            </w:tcMar>
          </w:tcPr>
          <w:p w:rsidR="00D50DC2" w:rsidRPr="009D0BE4" w:rsidRDefault="00D50DC2" w:rsidP="00D50DC2">
            <w:pPr>
              <w:pStyle w:val="TSBodyCopy"/>
            </w:pPr>
            <w:r w:rsidRPr="009D0BE4">
              <w:t>The lesser of:</w:t>
            </w:r>
          </w:p>
          <w:p w:rsidR="00D50DC2" w:rsidRPr="009D0BE4" w:rsidRDefault="00D50DC2" w:rsidP="00D50DC2">
            <w:pPr>
              <w:pStyle w:val="TSBodyCopy"/>
              <w:numPr>
                <w:ilvl w:val="0"/>
                <w:numId w:val="6"/>
              </w:numPr>
            </w:pPr>
            <w:r w:rsidRPr="009D0BE4">
              <w:t>83.3%, 87%, or 90% of replacement cost for market rate, affordable,</w:t>
            </w:r>
            <w:r w:rsidRPr="009D0BE4">
              <w:rPr>
                <w:vertAlign w:val="superscript"/>
              </w:rPr>
              <w:t>(1)</w:t>
            </w:r>
            <w:r w:rsidRPr="009D0BE4">
              <w:t xml:space="preserve"> or rental assisted</w:t>
            </w:r>
            <w:r w:rsidRPr="009D0BE4">
              <w:rPr>
                <w:vertAlign w:val="superscript"/>
              </w:rPr>
              <w:t>(2)</w:t>
            </w:r>
            <w:r w:rsidRPr="009D0BE4">
              <w:t xml:space="preserve"> properties, respectively; </w:t>
            </w:r>
          </w:p>
          <w:p w:rsidR="00D50DC2" w:rsidRPr="009D0BE4" w:rsidRDefault="00D50DC2" w:rsidP="00D50DC2">
            <w:pPr>
              <w:pStyle w:val="TSBodyCopy"/>
              <w:numPr>
                <w:ilvl w:val="0"/>
                <w:numId w:val="6"/>
              </w:numPr>
            </w:pPr>
            <w:r w:rsidRPr="009D0BE4">
              <w:t>The amount of debt that can be serviced by 83.3%, 87%, or 90% of net operating income for market rate, affordable,</w:t>
            </w:r>
            <w:r w:rsidRPr="009D0BE4">
              <w:rPr>
                <w:vertAlign w:val="superscript"/>
              </w:rPr>
              <w:t>(1)</w:t>
            </w:r>
            <w:r w:rsidRPr="009D0BE4">
              <w:t xml:space="preserve"> or rental assisted</w:t>
            </w:r>
            <w:r w:rsidRPr="009D0BE4">
              <w:rPr>
                <w:vertAlign w:val="superscript"/>
              </w:rPr>
              <w:t>(2)</w:t>
            </w:r>
            <w:r w:rsidRPr="009D0BE4">
              <w:t xml:space="preserve"> properties, respectively; </w:t>
            </w:r>
          </w:p>
          <w:p w:rsidR="00D50DC2" w:rsidRPr="009D0BE4" w:rsidRDefault="00D50DC2" w:rsidP="00D50DC2">
            <w:pPr>
              <w:pStyle w:val="TSBodyCopy"/>
              <w:numPr>
                <w:ilvl w:val="0"/>
                <w:numId w:val="6"/>
              </w:numPr>
            </w:pPr>
            <w:r w:rsidRPr="009D0BE4">
              <w:t>Statutory per unit limits;</w:t>
            </w:r>
          </w:p>
          <w:p w:rsidR="000D1E2E" w:rsidRPr="00854DF2" w:rsidRDefault="00D50DC2" w:rsidP="00D50DC2">
            <w:pPr>
              <w:pStyle w:val="TSBodyCopy"/>
              <w:numPr>
                <w:ilvl w:val="0"/>
                <w:numId w:val="6"/>
              </w:numPr>
            </w:pPr>
            <w:r w:rsidRPr="009D0BE4">
              <w:t xml:space="preserve">100% of mortgageable transaction costs less </w:t>
            </w:r>
            <w:r>
              <w:t xml:space="preserve">the portion of </w:t>
            </w:r>
            <w:r w:rsidRPr="009D0BE4">
              <w:t>grants, public loans and tax credits</w:t>
            </w:r>
            <w:r>
              <w:t xml:space="preserve"> applied to mortgageable costs</w:t>
            </w:r>
            <w:r w:rsidRPr="009D0BE4">
              <w:t>.</w:t>
            </w:r>
          </w:p>
        </w:tc>
      </w:tr>
      <w:tr w:rsidR="00871998" w:rsidRPr="00854DF2" w:rsidTr="005F1C30">
        <w:tc>
          <w:tcPr>
            <w:tcW w:w="2360" w:type="dxa"/>
            <w:shd w:val="clear" w:color="auto" w:fill="auto"/>
            <w:tcMar>
              <w:top w:w="0" w:type="dxa"/>
              <w:left w:w="20" w:type="dxa"/>
              <w:bottom w:w="72" w:type="dxa"/>
              <w:right w:w="20" w:type="dxa"/>
            </w:tcMar>
          </w:tcPr>
          <w:p w:rsidR="00871998" w:rsidRPr="00D50DC2" w:rsidRDefault="00D50DC2" w:rsidP="00D50DC2">
            <w:pPr>
              <w:pStyle w:val="TSSectionHeader"/>
            </w:pPr>
            <w:r w:rsidRPr="00D50DC2">
              <w:t>Maximum Term:</w:t>
            </w:r>
          </w:p>
        </w:tc>
        <w:tc>
          <w:tcPr>
            <w:tcW w:w="8010" w:type="dxa"/>
            <w:shd w:val="clear" w:color="auto" w:fill="auto"/>
            <w:tcMar>
              <w:top w:w="0" w:type="dxa"/>
              <w:left w:w="43" w:type="dxa"/>
              <w:bottom w:w="72" w:type="dxa"/>
              <w:right w:w="43" w:type="dxa"/>
            </w:tcMar>
          </w:tcPr>
          <w:p w:rsidR="00871998" w:rsidRPr="00D50DC2" w:rsidRDefault="00D50DC2" w:rsidP="00D50DC2">
            <w:pPr>
              <w:pStyle w:val="TSBodyCopy"/>
            </w:pPr>
            <w:r w:rsidRPr="00D50DC2">
              <w:t>40 years plus a construction period.</w:t>
            </w:r>
          </w:p>
        </w:tc>
      </w:tr>
      <w:tr w:rsidR="00871998" w:rsidRPr="00854DF2" w:rsidTr="005F1C30">
        <w:tc>
          <w:tcPr>
            <w:tcW w:w="2360" w:type="dxa"/>
            <w:shd w:val="clear" w:color="auto" w:fill="auto"/>
            <w:tcMar>
              <w:top w:w="0" w:type="dxa"/>
              <w:left w:w="20" w:type="dxa"/>
              <w:bottom w:w="72" w:type="dxa"/>
              <w:right w:w="20" w:type="dxa"/>
            </w:tcMar>
          </w:tcPr>
          <w:p w:rsidR="00871998" w:rsidRPr="00D50DC2" w:rsidRDefault="00D50DC2" w:rsidP="00D50DC2">
            <w:pPr>
              <w:pStyle w:val="TSSectionHeader"/>
            </w:pPr>
            <w:r w:rsidRPr="00D50DC2">
              <w:t>Occupancy:</w:t>
            </w:r>
          </w:p>
        </w:tc>
        <w:tc>
          <w:tcPr>
            <w:tcW w:w="8010" w:type="dxa"/>
            <w:shd w:val="clear" w:color="auto" w:fill="auto"/>
            <w:tcMar>
              <w:top w:w="0" w:type="dxa"/>
              <w:left w:w="43" w:type="dxa"/>
              <w:bottom w:w="72" w:type="dxa"/>
              <w:right w:w="43" w:type="dxa"/>
            </w:tcMar>
          </w:tcPr>
          <w:p w:rsidR="00871998" w:rsidRPr="00D50DC2" w:rsidRDefault="00D50DC2" w:rsidP="00D50DC2">
            <w:pPr>
              <w:pStyle w:val="TSBodyCopy"/>
            </w:pPr>
            <w:r w:rsidRPr="00D50DC2">
              <w:t>Maximum underwritten physical occupancy of 93% for market rate or affordable(1) properties. Maximum underwritten physical occupancy of 95% for rental assisted(2) properties, or properties where all units have rents at least 20% below comparable market rents.</w:t>
            </w:r>
          </w:p>
        </w:tc>
      </w:tr>
      <w:tr w:rsidR="0038160F" w:rsidRPr="00854DF2" w:rsidTr="005F1C30">
        <w:tc>
          <w:tcPr>
            <w:tcW w:w="2360" w:type="dxa"/>
            <w:shd w:val="clear" w:color="auto" w:fill="auto"/>
            <w:tcMar>
              <w:top w:w="0" w:type="dxa"/>
              <w:left w:w="20" w:type="dxa"/>
              <w:bottom w:w="72" w:type="dxa"/>
              <w:right w:w="20" w:type="dxa"/>
            </w:tcMar>
          </w:tcPr>
          <w:p w:rsidR="0038160F" w:rsidRPr="00D50DC2" w:rsidRDefault="00D50DC2" w:rsidP="00D50DC2">
            <w:pPr>
              <w:pStyle w:val="TSSectionHeader"/>
            </w:pPr>
            <w:r w:rsidRPr="00D50DC2">
              <w:t>Funding:</w:t>
            </w:r>
          </w:p>
        </w:tc>
        <w:tc>
          <w:tcPr>
            <w:tcW w:w="8010" w:type="dxa"/>
            <w:shd w:val="clear" w:color="auto" w:fill="auto"/>
            <w:tcMar>
              <w:top w:w="0" w:type="dxa"/>
              <w:left w:w="43" w:type="dxa"/>
              <w:bottom w:w="72" w:type="dxa"/>
              <w:right w:w="43" w:type="dxa"/>
            </w:tcMar>
          </w:tcPr>
          <w:p w:rsidR="0038160F" w:rsidRPr="00D50DC2" w:rsidRDefault="00D50DC2" w:rsidP="00D50DC2">
            <w:pPr>
              <w:pStyle w:val="TSBodyCopy"/>
            </w:pPr>
            <w:r w:rsidRPr="00D50DC2">
              <w:t>Qualifies for Ginnie Mae guaranteed mortgage-backed securities, direct placement or may be used to credit enhance tax-exempt bonds.</w:t>
            </w:r>
          </w:p>
        </w:tc>
      </w:tr>
      <w:tr w:rsidR="0038160F" w:rsidRPr="00854DF2" w:rsidTr="005F1C30">
        <w:tc>
          <w:tcPr>
            <w:tcW w:w="2360" w:type="dxa"/>
            <w:shd w:val="clear" w:color="auto" w:fill="auto"/>
            <w:tcMar>
              <w:top w:w="0" w:type="dxa"/>
              <w:left w:w="20" w:type="dxa"/>
              <w:bottom w:w="72" w:type="dxa"/>
              <w:right w:w="20" w:type="dxa"/>
            </w:tcMar>
          </w:tcPr>
          <w:p w:rsidR="0038160F" w:rsidRPr="00D50DC2" w:rsidRDefault="00D50DC2" w:rsidP="00D50DC2">
            <w:pPr>
              <w:pStyle w:val="TSSectionHeader"/>
            </w:pPr>
            <w:r w:rsidRPr="00D50DC2">
              <w:t>Interest Rate:</w:t>
            </w:r>
          </w:p>
        </w:tc>
        <w:tc>
          <w:tcPr>
            <w:tcW w:w="8010" w:type="dxa"/>
            <w:shd w:val="clear" w:color="auto" w:fill="auto"/>
            <w:tcMar>
              <w:top w:w="0" w:type="dxa"/>
              <w:left w:w="43" w:type="dxa"/>
              <w:bottom w:w="72" w:type="dxa"/>
              <w:right w:w="43" w:type="dxa"/>
            </w:tcMar>
          </w:tcPr>
          <w:p w:rsidR="0038160F" w:rsidRPr="00D50DC2" w:rsidRDefault="00D50DC2" w:rsidP="00D50DC2">
            <w:pPr>
              <w:pStyle w:val="TSBodyCopy"/>
            </w:pPr>
            <w:r w:rsidRPr="00D50DC2">
              <w:t>Subject to market conditions. The construction and permanent financing interest rate is set at initial closing.</w:t>
            </w:r>
          </w:p>
        </w:tc>
      </w:tr>
      <w:tr w:rsidR="0038160F" w:rsidRPr="00854DF2" w:rsidTr="005F1C30">
        <w:tc>
          <w:tcPr>
            <w:tcW w:w="2360" w:type="dxa"/>
            <w:shd w:val="clear" w:color="auto" w:fill="auto"/>
            <w:tcMar>
              <w:top w:w="0" w:type="dxa"/>
              <w:left w:w="20" w:type="dxa"/>
              <w:bottom w:w="72" w:type="dxa"/>
              <w:right w:w="20" w:type="dxa"/>
            </w:tcMar>
          </w:tcPr>
          <w:p w:rsidR="0038160F" w:rsidRPr="00D50DC2" w:rsidRDefault="00D50DC2" w:rsidP="00D50DC2">
            <w:pPr>
              <w:pStyle w:val="TSSectionHeader"/>
            </w:pPr>
            <w:r w:rsidRPr="00D50DC2">
              <w:t>Mortgage Insurance</w:t>
            </w:r>
            <w:r w:rsidRPr="00D50DC2">
              <w:br/>
              <w:t>Premium:</w:t>
            </w:r>
          </w:p>
        </w:tc>
        <w:tc>
          <w:tcPr>
            <w:tcW w:w="8010" w:type="dxa"/>
            <w:shd w:val="clear" w:color="auto" w:fill="auto"/>
            <w:tcMar>
              <w:top w:w="0" w:type="dxa"/>
              <w:left w:w="43" w:type="dxa"/>
              <w:bottom w:w="72" w:type="dxa"/>
              <w:right w:w="43" w:type="dxa"/>
            </w:tcMar>
          </w:tcPr>
          <w:p w:rsidR="0038160F" w:rsidRPr="00D50DC2" w:rsidRDefault="00D50DC2" w:rsidP="00D50DC2">
            <w:pPr>
              <w:pStyle w:val="TSBodyCopy"/>
            </w:pPr>
            <w:r w:rsidRPr="00D50DC2">
              <w:t>The annual MIP has historically been 0.45% of the outstanding loan amount.</w:t>
            </w:r>
          </w:p>
        </w:tc>
      </w:tr>
      <w:tr w:rsidR="0038160F" w:rsidRPr="00854DF2" w:rsidTr="005F1C30">
        <w:tc>
          <w:tcPr>
            <w:tcW w:w="2360" w:type="dxa"/>
            <w:shd w:val="clear" w:color="auto" w:fill="auto"/>
            <w:tcMar>
              <w:top w:w="0" w:type="dxa"/>
              <w:left w:w="20" w:type="dxa"/>
              <w:bottom w:w="72" w:type="dxa"/>
              <w:right w:w="20" w:type="dxa"/>
            </w:tcMar>
          </w:tcPr>
          <w:p w:rsidR="0038160F" w:rsidRPr="00D50DC2" w:rsidRDefault="00D50DC2" w:rsidP="00D50DC2">
            <w:pPr>
              <w:pStyle w:val="TSSectionHeader"/>
            </w:pPr>
            <w:r w:rsidRPr="00D50DC2">
              <w:t>Prepayment:</w:t>
            </w:r>
          </w:p>
        </w:tc>
        <w:tc>
          <w:tcPr>
            <w:tcW w:w="8010" w:type="dxa"/>
            <w:shd w:val="clear" w:color="auto" w:fill="auto"/>
            <w:tcMar>
              <w:top w:w="0" w:type="dxa"/>
              <w:left w:w="43" w:type="dxa"/>
              <w:bottom w:w="72" w:type="dxa"/>
              <w:right w:w="43" w:type="dxa"/>
            </w:tcMar>
          </w:tcPr>
          <w:p w:rsidR="0038160F" w:rsidRPr="00D50DC2" w:rsidRDefault="00D50DC2" w:rsidP="00D50DC2">
            <w:pPr>
              <w:pStyle w:val="TSBodyCopy"/>
            </w:pPr>
            <w:r w:rsidRPr="00D50DC2">
              <w:t>Typically closed for 2 years then open to prepayment at 108% in year 3, declining 1% per year. Other variations are possible based on market conditions and borrower preferences.</w:t>
            </w:r>
          </w:p>
        </w:tc>
      </w:tr>
      <w:tr w:rsidR="00205625" w:rsidRPr="00854DF2" w:rsidTr="005F1C30">
        <w:tc>
          <w:tcPr>
            <w:tcW w:w="2360" w:type="dxa"/>
            <w:shd w:val="clear" w:color="auto" w:fill="auto"/>
            <w:tcMar>
              <w:top w:w="0" w:type="dxa"/>
              <w:left w:w="20" w:type="dxa"/>
              <w:bottom w:w="72" w:type="dxa"/>
              <w:right w:w="20" w:type="dxa"/>
            </w:tcMar>
          </w:tcPr>
          <w:p w:rsidR="00205625" w:rsidRPr="00D50DC2" w:rsidRDefault="00D50DC2" w:rsidP="00D50DC2">
            <w:pPr>
              <w:pStyle w:val="TSSectionHeader"/>
            </w:pPr>
            <w:r w:rsidRPr="00D50DC2">
              <w:t>Application:</w:t>
            </w:r>
          </w:p>
        </w:tc>
        <w:tc>
          <w:tcPr>
            <w:tcW w:w="8010" w:type="dxa"/>
            <w:shd w:val="clear" w:color="auto" w:fill="auto"/>
            <w:tcMar>
              <w:top w:w="0" w:type="dxa"/>
              <w:left w:w="43" w:type="dxa"/>
              <w:bottom w:w="72" w:type="dxa"/>
              <w:right w:w="43" w:type="dxa"/>
            </w:tcMar>
          </w:tcPr>
          <w:p w:rsidR="00205625" w:rsidRPr="00D50DC2" w:rsidRDefault="00D50DC2" w:rsidP="00D50DC2">
            <w:pPr>
              <w:pStyle w:val="TSBodyCopy"/>
            </w:pPr>
            <w:r w:rsidRPr="00D50DC2">
              <w:t>Market rate applications must be submitted under MAP two-stage processing (pre-application/firm application). HUD may allow MAP one-stage processing for substantial rehabilitation of market rate properties that will not have (i) major unit reconfiguration, (ii) tenant displacement except for a short period of time, (iii) a reduction in current occupancy, (iv) negative cash flow, or (v) for properties in stable markets where an invitation letter recently expired. Affordable (1) or rental assisted (2) properties may utilize MAP one-stage processing.</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Timing:</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D50DC2">
              <w:t>Section 221(d)(4) processing usually takes about 5 to 7 months assuming a MAP one-stage application and about 8 to 10 months assuming a MAP two-stage application (subject to deal specifics).</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FHA Application Fees:</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rPr>
                <w:spacing w:val="-6"/>
              </w:rPr>
              <w:t>0.30% of the loan amount</w:t>
            </w:r>
            <w:r>
              <w:rPr>
                <w:spacing w:val="-6"/>
              </w:rPr>
              <w:t xml:space="preserve"> (non-refundable)</w:t>
            </w:r>
            <w:r w:rsidRPr="009D0BE4">
              <w:rPr>
                <w:spacing w:val="-6"/>
              </w:rPr>
              <w:t>. Market rate transactions will require the payment of a non-refundable 0.15% review fee due at pre-application submittal.  The review fee will be credited toward the 0.30% application fee due at firm application submittal.</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FHA Inspection Fees:</w:t>
            </w:r>
          </w:p>
        </w:tc>
        <w:tc>
          <w:tcPr>
            <w:tcW w:w="8010" w:type="dxa"/>
            <w:shd w:val="clear" w:color="auto" w:fill="auto"/>
            <w:tcMar>
              <w:top w:w="0" w:type="dxa"/>
              <w:left w:w="43" w:type="dxa"/>
              <w:bottom w:w="72" w:type="dxa"/>
              <w:right w:w="43" w:type="dxa"/>
            </w:tcMar>
          </w:tcPr>
          <w:p w:rsidR="00D50DC2" w:rsidRPr="009D0BE4" w:rsidRDefault="00D50DC2" w:rsidP="00D50DC2">
            <w:pPr>
              <w:tabs>
                <w:tab w:val="left" w:pos="2520"/>
              </w:tabs>
              <w:spacing w:after="20"/>
              <w:ind w:left="2520" w:hanging="2520"/>
              <w:jc w:val="both"/>
              <w:rPr>
                <w:color w:val="000000"/>
                <w:sz w:val="19"/>
                <w:szCs w:val="19"/>
              </w:rPr>
            </w:pPr>
            <w:r w:rsidRPr="009D0BE4">
              <w:rPr>
                <w:color w:val="000000"/>
                <w:sz w:val="19"/>
                <w:szCs w:val="19"/>
              </w:rPr>
              <w:t>0.50% of loan amount (new construction).</w:t>
            </w:r>
          </w:p>
          <w:p w:rsidR="00D50DC2" w:rsidRPr="00D50DC2" w:rsidRDefault="00D50DC2" w:rsidP="00D50DC2">
            <w:pPr>
              <w:tabs>
                <w:tab w:val="left" w:pos="2520"/>
              </w:tabs>
              <w:spacing w:after="20"/>
              <w:ind w:left="2520" w:hanging="2520"/>
              <w:jc w:val="both"/>
              <w:rPr>
                <w:color w:val="000000"/>
                <w:sz w:val="19"/>
                <w:szCs w:val="19"/>
              </w:rPr>
            </w:pPr>
            <w:r w:rsidRPr="009D0BE4">
              <w:rPr>
                <w:color w:val="000000"/>
                <w:sz w:val="19"/>
                <w:szCs w:val="19"/>
              </w:rPr>
              <w:t>0.50% of costs associated with construction (substantial rehabilitation).</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Replacement Reserves:</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t>Annual deposits required equivalent to the greater of (i) 0.60% of total structure cost for new construction or 0.40% of the loan amount for substantial rehabilitation</w:t>
            </w:r>
            <w:r>
              <w:t>,</w:t>
            </w:r>
            <w:r w:rsidRPr="009D0BE4">
              <w:t xml:space="preserve"> or</w:t>
            </w:r>
            <w:r w:rsidR="00B71C30">
              <w:t xml:space="preserve"> (ii) $250 per unit per annum. </w:t>
            </w:r>
            <w:r w:rsidRPr="009D0BE4">
              <w:t>HUD may consider waivers where formula-based calculations exceed $500 per unit per annum.</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lastRenderedPageBreak/>
              <w:t>Personal Liability:</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t>None.  The FHA loan is non-recourse</w:t>
            </w:r>
            <w:r>
              <w:t>; however, identified principal(s) will be required to sign “Bad Boy” carve outs at closing</w:t>
            </w:r>
            <w:r w:rsidRPr="009D0BE4">
              <w:t>.</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Assumable:</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t>Yes, sub</w:t>
            </w:r>
            <w:r>
              <w:t>ject to HUD and lender approval (0.05% of the original loan amount).</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Secondary Financing:</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t>Permitted in the form of a surplus cash note and only from a governmental source.</w:t>
            </w:r>
            <w:r>
              <w:t xml:space="preserve"> Low income housing tax credit deals with less than 50% of cost mortgages may also carry secondary financing.</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Builder/Developer's Profit:</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t>A Builder's and Sponsor's Profit and Risk Allowance (BSPRA) equal to 10% of all costs other than land can be utilized for sponsors with an identity of interest general contractor.</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Territory:</w:t>
            </w:r>
          </w:p>
        </w:tc>
        <w:tc>
          <w:tcPr>
            <w:tcW w:w="8010" w:type="dxa"/>
            <w:shd w:val="clear" w:color="auto" w:fill="auto"/>
            <w:tcMar>
              <w:top w:w="0" w:type="dxa"/>
              <w:left w:w="43" w:type="dxa"/>
              <w:bottom w:w="72" w:type="dxa"/>
              <w:right w:w="43" w:type="dxa"/>
            </w:tcMar>
          </w:tcPr>
          <w:p w:rsidR="00D50DC2" w:rsidRPr="00D50DC2" w:rsidRDefault="00D50DC2" w:rsidP="00D50DC2">
            <w:pPr>
              <w:pStyle w:val="TSBodyCopy"/>
            </w:pPr>
            <w:r w:rsidRPr="009D0BE4">
              <w:t>Nationwide.</w:t>
            </w:r>
          </w:p>
        </w:tc>
      </w:tr>
      <w:tr w:rsidR="00D50DC2" w:rsidRPr="00854DF2" w:rsidTr="005F1C30">
        <w:tc>
          <w:tcPr>
            <w:tcW w:w="2360" w:type="dxa"/>
            <w:shd w:val="clear" w:color="auto" w:fill="auto"/>
            <w:tcMar>
              <w:top w:w="0" w:type="dxa"/>
              <w:left w:w="20" w:type="dxa"/>
              <w:bottom w:w="72" w:type="dxa"/>
              <w:right w:w="20" w:type="dxa"/>
            </w:tcMar>
          </w:tcPr>
          <w:p w:rsidR="00D50DC2" w:rsidRPr="00D50DC2" w:rsidRDefault="00D50DC2" w:rsidP="00D50DC2">
            <w:pPr>
              <w:pStyle w:val="TSSectionHeader"/>
            </w:pPr>
            <w:r w:rsidRPr="00D50DC2">
              <w:t>The program has the following additional parameters:</w:t>
            </w:r>
          </w:p>
        </w:tc>
        <w:tc>
          <w:tcPr>
            <w:tcW w:w="8010" w:type="dxa"/>
            <w:shd w:val="clear" w:color="auto" w:fill="auto"/>
            <w:tcMar>
              <w:top w:w="0" w:type="dxa"/>
              <w:left w:w="43" w:type="dxa"/>
              <w:bottom w:w="72" w:type="dxa"/>
              <w:right w:w="43" w:type="dxa"/>
            </w:tcMar>
          </w:tcPr>
          <w:p w:rsidR="00D50DC2" w:rsidRPr="00303D6A" w:rsidRDefault="00D50DC2" w:rsidP="00303D6A">
            <w:pPr>
              <w:pStyle w:val="TSBodyCopy"/>
              <w:numPr>
                <w:ilvl w:val="0"/>
                <w:numId w:val="9"/>
              </w:numPr>
              <w:tabs>
                <w:tab w:val="left" w:pos="407"/>
              </w:tabs>
              <w:ind w:left="407"/>
            </w:pPr>
            <w:r w:rsidRPr="00303D6A">
              <w:t>All transactions must participate in a concept meeting with HUD prior to application submittal.</w:t>
            </w:r>
            <w:r w:rsidRPr="00303D6A">
              <w:br/>
              <w:t>This program can be used in conjunction with Low Income Housing Tax</w:t>
            </w:r>
            <w:r w:rsidR="00303D6A" w:rsidRPr="00303D6A">
              <w:t xml:space="preserve"> Credits and is often used with </w:t>
            </w:r>
            <w:r w:rsidRPr="00303D6A">
              <w:t>properties that involve Section 202, Section 236 and Section 8 funding.</w:t>
            </w:r>
          </w:p>
          <w:p w:rsidR="00D50DC2" w:rsidRPr="00303D6A" w:rsidRDefault="00D50DC2" w:rsidP="00303D6A">
            <w:pPr>
              <w:pStyle w:val="TSBodyCopy"/>
              <w:numPr>
                <w:ilvl w:val="0"/>
                <w:numId w:val="9"/>
              </w:numPr>
              <w:tabs>
                <w:tab w:val="left" w:pos="407"/>
              </w:tabs>
              <w:ind w:left="407"/>
            </w:pPr>
            <w:r w:rsidRPr="00303D6A">
              <w:t>Davis-Bacon prevailing wage requirements apply.</w:t>
            </w:r>
          </w:p>
          <w:p w:rsidR="00D50DC2" w:rsidRPr="00303D6A" w:rsidRDefault="00D50DC2" w:rsidP="00303D6A">
            <w:pPr>
              <w:pStyle w:val="TSBodyCopy"/>
              <w:numPr>
                <w:ilvl w:val="0"/>
                <w:numId w:val="9"/>
              </w:numPr>
              <w:tabs>
                <w:tab w:val="left" w:pos="407"/>
              </w:tabs>
              <w:ind w:left="407"/>
            </w:pPr>
            <w:r w:rsidRPr="00303D6A">
              <w:t>A property generally qualifies as substantial rehabilitation when (i) the cost of repairs/improvements exceeds the greater of (1) 15% of the estimated replacement cost after completion of all repairs or (2) $6,500 per unit adjusted by the HUD high cost factor for the geographic region, or (3) 20% of the mortgage proceeds applied to rehabilitation expenses; or (ii) two or more building systems/components are being replaced along with any components with an estimated remaining life of less than 5 years.</w:t>
            </w:r>
          </w:p>
          <w:p w:rsidR="00D50DC2" w:rsidRPr="00303D6A" w:rsidRDefault="00D50DC2" w:rsidP="00303D6A">
            <w:pPr>
              <w:pStyle w:val="TSBodyCopy"/>
              <w:numPr>
                <w:ilvl w:val="0"/>
                <w:numId w:val="9"/>
              </w:numPr>
              <w:tabs>
                <w:tab w:val="left" w:pos="407"/>
              </w:tabs>
              <w:ind w:left="407"/>
            </w:pPr>
            <w:r w:rsidRPr="00303D6A">
              <w:t>Properties must be able to demonstrate an ability to achieve stabilized occupancy within 18 months of construction completion (special exception may be given to high rise buildings).</w:t>
            </w:r>
          </w:p>
          <w:p w:rsidR="00D50DC2" w:rsidRPr="00303D6A" w:rsidRDefault="00D50DC2" w:rsidP="00303D6A">
            <w:pPr>
              <w:pStyle w:val="TSBodyCopy"/>
              <w:numPr>
                <w:ilvl w:val="0"/>
                <w:numId w:val="9"/>
              </w:numPr>
              <w:tabs>
                <w:tab w:val="left" w:pos="407"/>
              </w:tabs>
              <w:ind w:left="407"/>
            </w:pPr>
            <w:r w:rsidRPr="00303D6A">
              <w:t>An initial operating deficit escrow (cash or letter of credit) may be required to cover projected operating shortfalls incurred prior to project stabilization. Typically greater of (i) appraisal or underwriting conclusions, (ii) 3% of the loan amount, or (iii) 4 months of debt service for garden apartments or 6 months of debt service for elevator buildings subject to single Certificate of Occupancy issuance.</w:t>
            </w:r>
          </w:p>
          <w:p w:rsidR="00D50DC2" w:rsidRPr="00303D6A" w:rsidRDefault="00D50DC2" w:rsidP="00303D6A">
            <w:pPr>
              <w:pStyle w:val="TSBodyCopy"/>
              <w:numPr>
                <w:ilvl w:val="0"/>
                <w:numId w:val="9"/>
              </w:numPr>
              <w:tabs>
                <w:tab w:val="left" w:pos="407"/>
              </w:tabs>
              <w:ind w:left="407"/>
            </w:pPr>
            <w:r w:rsidRPr="00303D6A">
              <w:t>A working capital deposit (cash or letter of credit) equivalent to 4% of the loan amount is required by HUD on all new construction and substantial rehabilitation projects to cover various costs; 2% of which will be a construction contingency for cost overruns and approved change orders.</w:t>
            </w:r>
          </w:p>
          <w:p w:rsidR="00D50DC2" w:rsidRPr="00303D6A" w:rsidRDefault="00D50DC2" w:rsidP="00303D6A">
            <w:pPr>
              <w:pStyle w:val="TSBodyCopy"/>
              <w:numPr>
                <w:ilvl w:val="0"/>
                <w:numId w:val="9"/>
              </w:numPr>
              <w:tabs>
                <w:tab w:val="left" w:pos="407"/>
              </w:tabs>
              <w:ind w:left="407"/>
            </w:pPr>
            <w:r w:rsidRPr="00303D6A">
              <w:t>Allowable commercial space is limited given the residential nature of the program.</w:t>
            </w:r>
          </w:p>
          <w:p w:rsidR="00D50DC2" w:rsidRPr="00303D6A" w:rsidRDefault="00D50DC2" w:rsidP="00303D6A">
            <w:pPr>
              <w:pStyle w:val="TSBodyCopy"/>
              <w:numPr>
                <w:ilvl w:val="0"/>
                <w:numId w:val="9"/>
              </w:numPr>
              <w:tabs>
                <w:tab w:val="left" w:pos="407"/>
              </w:tabs>
              <w:ind w:left="407"/>
            </w:pPr>
            <w:r w:rsidRPr="00303D6A">
              <w:t>A Project Capital Needs Assessment (PCNA) will be required every 10 years.</w:t>
            </w:r>
          </w:p>
          <w:p w:rsidR="00D50DC2" w:rsidRPr="00D50DC2" w:rsidRDefault="00D50DC2" w:rsidP="00D50DC2">
            <w:pPr>
              <w:pStyle w:val="TSBodyCopy"/>
              <w:numPr>
                <w:ilvl w:val="0"/>
                <w:numId w:val="9"/>
              </w:numPr>
              <w:tabs>
                <w:tab w:val="left" w:pos="407"/>
              </w:tabs>
              <w:ind w:left="407"/>
            </w:pPr>
            <w:r w:rsidRPr="00303D6A">
              <w:t>A schedule of real estate owned by principals is required and reviewed.</w:t>
            </w:r>
          </w:p>
        </w:tc>
      </w:tr>
    </w:tbl>
    <w:p w:rsidR="00225556" w:rsidRDefault="00225556" w:rsidP="006922B8">
      <w:pPr>
        <w:tabs>
          <w:tab w:val="left" w:pos="2070"/>
          <w:tab w:val="left" w:pos="2340"/>
        </w:tabs>
        <w:jc w:val="both"/>
        <w:rPr>
          <w:rFonts w:ascii="Arial" w:hAnsi="Arial" w:cs="Arial"/>
          <w:b/>
          <w:color w:val="000000"/>
          <w:sz w:val="19"/>
          <w:szCs w:val="19"/>
        </w:rPr>
        <w:sectPr w:rsidR="00225556" w:rsidSect="005F1C30">
          <w:footerReference w:type="default" r:id="rId9"/>
          <w:headerReference w:type="first" r:id="rId10"/>
          <w:footerReference w:type="first" r:id="rId11"/>
          <w:endnotePr>
            <w:numFmt w:val="decimal"/>
          </w:endnotePr>
          <w:type w:val="continuous"/>
          <w:pgSz w:w="12240" w:h="15840" w:code="1"/>
          <w:pgMar w:top="900" w:right="1008" w:bottom="1008" w:left="1008" w:header="864" w:footer="288" w:gutter="0"/>
          <w:cols w:space="720"/>
          <w:noEndnote/>
          <w:titlePg/>
          <w:docGrid w:linePitch="272"/>
        </w:sectPr>
      </w:pPr>
    </w:p>
    <w:p w:rsidR="005F1C30" w:rsidRDefault="005F1C30" w:rsidP="005F1C30">
      <w:pPr>
        <w:tabs>
          <w:tab w:val="left" w:pos="2070"/>
          <w:tab w:val="left" w:pos="2340"/>
        </w:tabs>
        <w:spacing w:after="20"/>
        <w:jc w:val="center"/>
        <w:rPr>
          <w:color w:val="000000"/>
          <w:sz w:val="16"/>
          <w:szCs w:val="16"/>
        </w:rPr>
      </w:pPr>
      <w:bookmarkStart w:id="0" w:name="_GoBack"/>
      <w:bookmarkEnd w:id="0"/>
      <w:r>
        <w:rPr>
          <w:color w:val="000000"/>
          <w:sz w:val="16"/>
          <w:szCs w:val="16"/>
        </w:rPr>
        <w:lastRenderedPageBreak/>
        <w:t>**</w:t>
      </w:r>
      <w:r w:rsidRPr="006101E4">
        <w:rPr>
          <w:color w:val="000000"/>
          <w:sz w:val="16"/>
          <w:szCs w:val="16"/>
        </w:rPr>
        <w:t>Terms outline</w:t>
      </w:r>
      <w:r>
        <w:rPr>
          <w:color w:val="000000"/>
          <w:sz w:val="16"/>
          <w:szCs w:val="16"/>
        </w:rPr>
        <w:t>d above reflect the Revised MAP Guide Effective 11/1/11**</w:t>
      </w:r>
    </w:p>
    <w:p w:rsidR="00A41D84" w:rsidRPr="005F1C30" w:rsidRDefault="00A41D84" w:rsidP="005F1C30">
      <w:pPr>
        <w:pBdr>
          <w:bottom w:val="single" w:sz="4" w:space="1" w:color="auto"/>
        </w:pBdr>
        <w:tabs>
          <w:tab w:val="left" w:pos="2070"/>
          <w:tab w:val="left" w:pos="2340"/>
        </w:tabs>
        <w:jc w:val="both"/>
        <w:rPr>
          <w:rFonts w:ascii="Arial" w:hAnsi="Arial" w:cs="Arial"/>
          <w:b/>
          <w:color w:val="000000"/>
          <w:sz w:val="12"/>
          <w:szCs w:val="12"/>
        </w:rPr>
      </w:pPr>
    </w:p>
    <w:p w:rsidR="003D534B" w:rsidRPr="001C1839" w:rsidRDefault="00A41D84" w:rsidP="008054A0">
      <w:pPr>
        <w:pStyle w:val="TSContactHeader"/>
        <w:rPr>
          <w:color w:val="333333"/>
        </w:rPr>
      </w:pPr>
      <w:r w:rsidRPr="00026AD8">
        <w:t>F</w:t>
      </w:r>
      <w:r w:rsidR="00CB5579" w:rsidRPr="00026AD8">
        <w:t xml:space="preserve">or additional information </w:t>
      </w:r>
      <w:r w:rsidR="00BE5667" w:rsidRPr="00026AD8">
        <w:t>visit www.</w:t>
      </w:r>
      <w:r w:rsidR="00BE5667" w:rsidRPr="00BE5667">
        <w:rPr>
          <w:color w:val="CC0000"/>
        </w:rPr>
        <w:t>red</w:t>
      </w:r>
      <w:r w:rsidR="00BE5667" w:rsidRPr="00026AD8">
        <w:t xml:space="preserve">capitalgroup.com or </w:t>
      </w:r>
      <w:r w:rsidR="00CB5579" w:rsidRPr="00026AD8">
        <w:t>contact:</w:t>
      </w:r>
    </w:p>
    <w:tbl>
      <w:tblPr>
        <w:tblW w:w="10224" w:type="dxa"/>
        <w:jc w:val="center"/>
        <w:tblLayout w:type="fixed"/>
        <w:tblCellMar>
          <w:left w:w="115" w:type="dxa"/>
          <w:right w:w="115" w:type="dxa"/>
        </w:tblCellMar>
        <w:tblLook w:val="01E0" w:firstRow="1" w:lastRow="1" w:firstColumn="1" w:lastColumn="1" w:noHBand="0" w:noVBand="0"/>
      </w:tblPr>
      <w:tblGrid>
        <w:gridCol w:w="3328"/>
        <w:gridCol w:w="3510"/>
        <w:gridCol w:w="3386"/>
      </w:tblGrid>
      <w:tr w:rsidR="005F1C30" w:rsidRPr="00854DF2" w:rsidTr="005F1C30">
        <w:trPr>
          <w:trHeight w:hRule="exact" w:val="1189"/>
          <w:jc w:val="center"/>
        </w:trPr>
        <w:tc>
          <w:tcPr>
            <w:tcW w:w="3328" w:type="dxa"/>
            <w:shd w:val="clear" w:color="auto" w:fill="auto"/>
            <w:tcMar>
              <w:top w:w="72" w:type="dxa"/>
              <w:left w:w="43" w:type="dxa"/>
              <w:bottom w:w="72" w:type="dxa"/>
              <w:right w:w="43" w:type="dxa"/>
            </w:tcMar>
          </w:tcPr>
          <w:p w:rsidR="005F1C30" w:rsidRPr="00795A0F" w:rsidRDefault="005F1C30" w:rsidP="002845E1">
            <w:pPr>
              <w:pStyle w:val="TSContactName"/>
            </w:pPr>
            <w:r w:rsidRPr="00795A0F">
              <w:t>Edward H. Tellings</w:t>
            </w:r>
          </w:p>
          <w:p w:rsidR="005F1C30" w:rsidRPr="00795A0F" w:rsidRDefault="005F1C30" w:rsidP="002845E1">
            <w:pPr>
              <w:pStyle w:val="BodyText"/>
              <w:ind w:right="270"/>
              <w:jc w:val="left"/>
              <w:rPr>
                <w:rFonts w:ascii="Arial" w:hAnsi="Arial" w:cs="Arial"/>
                <w:b/>
                <w:color w:val="000000"/>
                <w:sz w:val="19"/>
                <w:szCs w:val="19"/>
              </w:rPr>
            </w:pPr>
            <w:r>
              <w:rPr>
                <w:rFonts w:ascii="Arial" w:hAnsi="Arial" w:cs="Arial"/>
                <w:color w:val="000000"/>
                <w:sz w:val="19"/>
                <w:szCs w:val="19"/>
              </w:rPr>
              <w:t xml:space="preserve">Senior </w:t>
            </w:r>
            <w:r w:rsidRPr="00795A0F">
              <w:rPr>
                <w:rFonts w:ascii="Arial" w:hAnsi="Arial" w:cs="Arial"/>
                <w:color w:val="000000"/>
                <w:sz w:val="19"/>
                <w:szCs w:val="19"/>
              </w:rPr>
              <w:t>Managing Director</w:t>
            </w:r>
          </w:p>
          <w:p w:rsidR="005F1C30" w:rsidRPr="00795A0F" w:rsidRDefault="005F1C30" w:rsidP="002845E1">
            <w:pPr>
              <w:pStyle w:val="BodyText"/>
              <w:ind w:right="270"/>
              <w:jc w:val="left"/>
              <w:rPr>
                <w:rFonts w:ascii="Arial" w:hAnsi="Arial" w:cs="Arial"/>
                <w:color w:val="000000"/>
                <w:sz w:val="19"/>
                <w:szCs w:val="19"/>
              </w:rPr>
            </w:pPr>
            <w:r w:rsidRPr="00795A0F">
              <w:rPr>
                <w:rFonts w:ascii="Arial" w:hAnsi="Arial" w:cs="Arial"/>
                <w:color w:val="CC0000"/>
                <w:sz w:val="19"/>
                <w:szCs w:val="19"/>
              </w:rPr>
              <w:t>Red</w:t>
            </w:r>
            <w:r w:rsidRPr="00795A0F">
              <w:rPr>
                <w:rFonts w:ascii="Arial" w:hAnsi="Arial" w:cs="Arial"/>
                <w:color w:val="333333"/>
                <w:sz w:val="19"/>
                <w:szCs w:val="19"/>
              </w:rPr>
              <w:t xml:space="preserve"> </w:t>
            </w:r>
            <w:r w:rsidRPr="00795A0F">
              <w:rPr>
                <w:rFonts w:ascii="Arial" w:hAnsi="Arial" w:cs="Arial"/>
                <w:color w:val="000000"/>
                <w:sz w:val="19"/>
                <w:szCs w:val="19"/>
              </w:rPr>
              <w:t>Mortgage Capital, LLC</w:t>
            </w:r>
          </w:p>
          <w:p w:rsidR="005F1C30" w:rsidRPr="00795A0F" w:rsidRDefault="005F1C30" w:rsidP="002845E1">
            <w:pPr>
              <w:pStyle w:val="BodyText"/>
              <w:ind w:right="270"/>
              <w:jc w:val="left"/>
              <w:rPr>
                <w:rFonts w:ascii="Arial" w:hAnsi="Arial" w:cs="Arial"/>
                <w:color w:val="000000"/>
                <w:sz w:val="19"/>
                <w:szCs w:val="19"/>
              </w:rPr>
            </w:pPr>
            <w:r w:rsidRPr="00795A0F">
              <w:rPr>
                <w:rFonts w:ascii="Arial" w:hAnsi="Arial" w:cs="Arial"/>
                <w:color w:val="000000"/>
                <w:sz w:val="19"/>
                <w:szCs w:val="19"/>
              </w:rPr>
              <w:t>ehtellings@</w:t>
            </w:r>
            <w:r w:rsidRPr="00795A0F">
              <w:rPr>
                <w:rFonts w:ascii="Arial" w:hAnsi="Arial" w:cs="Arial"/>
                <w:color w:val="CC0000"/>
                <w:sz w:val="19"/>
                <w:szCs w:val="19"/>
              </w:rPr>
              <w:t>red</w:t>
            </w:r>
            <w:r w:rsidRPr="00795A0F">
              <w:rPr>
                <w:rFonts w:ascii="Arial" w:hAnsi="Arial" w:cs="Arial"/>
                <w:color w:val="000000"/>
                <w:sz w:val="19"/>
                <w:szCs w:val="19"/>
              </w:rPr>
              <w:t>capitalgroup.com</w:t>
            </w:r>
          </w:p>
          <w:p w:rsidR="005F1C30" w:rsidRPr="00795A0F" w:rsidRDefault="005F1C30" w:rsidP="002845E1">
            <w:pPr>
              <w:pStyle w:val="BodyText"/>
              <w:ind w:right="270"/>
              <w:jc w:val="left"/>
              <w:rPr>
                <w:rFonts w:ascii="Arial" w:hAnsi="Arial" w:cs="Arial"/>
                <w:color w:val="333333"/>
                <w:sz w:val="19"/>
                <w:szCs w:val="19"/>
              </w:rPr>
            </w:pPr>
            <w:r w:rsidRPr="00795A0F">
              <w:rPr>
                <w:rFonts w:ascii="Arial" w:hAnsi="Arial" w:cs="Arial"/>
                <w:color w:val="000000"/>
                <w:sz w:val="19"/>
                <w:szCs w:val="19"/>
              </w:rPr>
              <w:t>800.837.5100</w:t>
            </w:r>
          </w:p>
        </w:tc>
        <w:tc>
          <w:tcPr>
            <w:tcW w:w="3510" w:type="dxa"/>
            <w:shd w:val="clear" w:color="auto" w:fill="auto"/>
            <w:tcMar>
              <w:top w:w="72" w:type="dxa"/>
              <w:left w:w="43" w:type="dxa"/>
              <w:bottom w:w="72" w:type="dxa"/>
              <w:right w:w="43" w:type="dxa"/>
            </w:tcMar>
          </w:tcPr>
          <w:p w:rsidR="005F1C30" w:rsidRPr="00795A0F" w:rsidRDefault="005F1C30" w:rsidP="002845E1">
            <w:pPr>
              <w:pStyle w:val="TSContactName"/>
            </w:pPr>
            <w:r w:rsidRPr="00795A0F">
              <w:t>Kevin M. Korn</w:t>
            </w:r>
          </w:p>
          <w:p w:rsidR="005F1C30" w:rsidRPr="00795A0F" w:rsidRDefault="005F1C30" w:rsidP="002845E1">
            <w:pPr>
              <w:pStyle w:val="BodyText"/>
              <w:tabs>
                <w:tab w:val="center" w:pos="1533"/>
              </w:tabs>
              <w:ind w:right="270"/>
              <w:jc w:val="left"/>
              <w:rPr>
                <w:rFonts w:ascii="Arial" w:hAnsi="Arial" w:cs="Arial"/>
                <w:b/>
                <w:color w:val="333333"/>
                <w:sz w:val="19"/>
                <w:szCs w:val="19"/>
              </w:rPr>
            </w:pPr>
            <w:r w:rsidRPr="00795A0F">
              <w:rPr>
                <w:rFonts w:ascii="Arial" w:hAnsi="Arial" w:cs="Arial"/>
                <w:color w:val="000000"/>
                <w:sz w:val="19"/>
                <w:szCs w:val="19"/>
              </w:rPr>
              <w:t>Director</w:t>
            </w:r>
            <w:r w:rsidRPr="00795A0F">
              <w:rPr>
                <w:rFonts w:ascii="Arial" w:hAnsi="Arial" w:cs="Arial"/>
                <w:color w:val="333333"/>
                <w:sz w:val="19"/>
                <w:szCs w:val="19"/>
              </w:rPr>
              <w:tab/>
            </w:r>
          </w:p>
          <w:p w:rsidR="005F1C30" w:rsidRPr="00795A0F" w:rsidRDefault="005F1C30" w:rsidP="002845E1">
            <w:pPr>
              <w:pStyle w:val="BodyText"/>
              <w:ind w:right="270"/>
              <w:jc w:val="left"/>
              <w:rPr>
                <w:rFonts w:ascii="Arial" w:hAnsi="Arial" w:cs="Arial"/>
                <w:color w:val="000000"/>
                <w:sz w:val="19"/>
                <w:szCs w:val="19"/>
              </w:rPr>
            </w:pPr>
            <w:r w:rsidRPr="00795A0F">
              <w:rPr>
                <w:rFonts w:ascii="Arial" w:hAnsi="Arial" w:cs="Arial"/>
                <w:color w:val="CC0000"/>
                <w:sz w:val="19"/>
                <w:szCs w:val="19"/>
              </w:rPr>
              <w:t>Red</w:t>
            </w:r>
            <w:r w:rsidRPr="00795A0F">
              <w:rPr>
                <w:rFonts w:ascii="Arial" w:hAnsi="Arial" w:cs="Arial"/>
                <w:color w:val="000000"/>
                <w:sz w:val="19"/>
                <w:szCs w:val="19"/>
              </w:rPr>
              <w:t xml:space="preserve"> Mortgage Capital, LLC</w:t>
            </w:r>
          </w:p>
          <w:p w:rsidR="005F1C30" w:rsidRPr="00795A0F" w:rsidRDefault="005F1C30" w:rsidP="002845E1">
            <w:pPr>
              <w:pStyle w:val="BodyText"/>
              <w:ind w:right="270"/>
              <w:jc w:val="left"/>
              <w:rPr>
                <w:rFonts w:ascii="Arial" w:hAnsi="Arial" w:cs="Arial"/>
                <w:color w:val="000000"/>
                <w:sz w:val="19"/>
                <w:szCs w:val="19"/>
              </w:rPr>
            </w:pPr>
            <w:r w:rsidRPr="00795A0F">
              <w:rPr>
                <w:rFonts w:ascii="Arial" w:hAnsi="Arial" w:cs="Arial"/>
                <w:color w:val="000000"/>
                <w:sz w:val="19"/>
                <w:szCs w:val="19"/>
              </w:rPr>
              <w:t>kmkorn@</w:t>
            </w:r>
            <w:r w:rsidRPr="00795A0F">
              <w:rPr>
                <w:rFonts w:ascii="Arial" w:hAnsi="Arial" w:cs="Arial"/>
                <w:color w:val="CC0000"/>
                <w:sz w:val="19"/>
                <w:szCs w:val="19"/>
              </w:rPr>
              <w:t>red</w:t>
            </w:r>
            <w:r w:rsidRPr="00795A0F">
              <w:rPr>
                <w:rFonts w:ascii="Arial" w:hAnsi="Arial" w:cs="Arial"/>
                <w:color w:val="000000"/>
                <w:sz w:val="19"/>
                <w:szCs w:val="19"/>
              </w:rPr>
              <w:t>capitalgroup.com</w:t>
            </w:r>
          </w:p>
          <w:p w:rsidR="005F1C30" w:rsidRPr="00795A0F" w:rsidRDefault="005F1C30" w:rsidP="002845E1">
            <w:pPr>
              <w:pStyle w:val="BodyText"/>
              <w:ind w:right="270"/>
              <w:jc w:val="left"/>
              <w:rPr>
                <w:rFonts w:ascii="Arial" w:hAnsi="Arial"/>
                <w:b/>
                <w:color w:val="333333"/>
                <w:sz w:val="24"/>
                <w:szCs w:val="24"/>
              </w:rPr>
            </w:pPr>
            <w:r w:rsidRPr="00795A0F">
              <w:rPr>
                <w:rFonts w:ascii="Arial" w:hAnsi="Arial" w:cs="Arial"/>
                <w:color w:val="000000"/>
                <w:sz w:val="19"/>
                <w:szCs w:val="19"/>
              </w:rPr>
              <w:t>800.837.5100</w:t>
            </w:r>
          </w:p>
        </w:tc>
        <w:tc>
          <w:tcPr>
            <w:tcW w:w="3386" w:type="dxa"/>
            <w:shd w:val="clear" w:color="auto" w:fill="auto"/>
            <w:tcMar>
              <w:top w:w="72" w:type="dxa"/>
              <w:left w:w="43" w:type="dxa"/>
              <w:bottom w:w="72" w:type="dxa"/>
              <w:right w:w="43" w:type="dxa"/>
            </w:tcMar>
          </w:tcPr>
          <w:p w:rsidR="005F1C30" w:rsidRPr="00854DF2" w:rsidRDefault="005F1C30" w:rsidP="00854DF2">
            <w:pPr>
              <w:pStyle w:val="BodyText"/>
              <w:ind w:right="270"/>
              <w:jc w:val="left"/>
              <w:rPr>
                <w:rFonts w:ascii="Arial" w:hAnsi="Arial"/>
                <w:b/>
                <w:color w:val="333333"/>
                <w:sz w:val="24"/>
                <w:szCs w:val="24"/>
              </w:rPr>
            </w:pPr>
          </w:p>
        </w:tc>
      </w:tr>
      <w:tr w:rsidR="005F1C30" w:rsidRPr="00854DF2" w:rsidTr="005F1C30">
        <w:trPr>
          <w:trHeight w:hRule="exact" w:val="1189"/>
          <w:jc w:val="center"/>
        </w:trPr>
        <w:tc>
          <w:tcPr>
            <w:tcW w:w="3328" w:type="dxa"/>
            <w:shd w:val="clear" w:color="auto" w:fill="auto"/>
            <w:tcMar>
              <w:top w:w="72" w:type="dxa"/>
              <w:left w:w="43" w:type="dxa"/>
              <w:bottom w:w="72" w:type="dxa"/>
              <w:right w:w="43" w:type="dxa"/>
            </w:tcMar>
          </w:tcPr>
          <w:p w:rsidR="005F1C30" w:rsidRPr="00795A0F" w:rsidRDefault="005F1C30" w:rsidP="002845E1">
            <w:pPr>
              <w:pStyle w:val="TSContactName"/>
            </w:pPr>
            <w:r w:rsidRPr="00795A0F">
              <w:t>Bradley C. Cain</w:t>
            </w:r>
          </w:p>
          <w:p w:rsidR="005F1C30" w:rsidRPr="00795A0F" w:rsidRDefault="005F1C30" w:rsidP="002845E1">
            <w:pPr>
              <w:pStyle w:val="BodyText"/>
              <w:tabs>
                <w:tab w:val="center" w:pos="1533"/>
              </w:tabs>
              <w:ind w:right="270"/>
              <w:jc w:val="left"/>
              <w:rPr>
                <w:rFonts w:ascii="Arial" w:hAnsi="Arial" w:cs="Arial"/>
                <w:b/>
                <w:color w:val="000000"/>
                <w:sz w:val="19"/>
                <w:szCs w:val="19"/>
              </w:rPr>
            </w:pPr>
            <w:r>
              <w:rPr>
                <w:rFonts w:ascii="Arial" w:hAnsi="Arial" w:cs="Arial"/>
                <w:color w:val="000000"/>
                <w:sz w:val="19"/>
                <w:szCs w:val="19"/>
              </w:rPr>
              <w:t>Director</w:t>
            </w:r>
            <w:r w:rsidRPr="00795A0F">
              <w:rPr>
                <w:rFonts w:ascii="Arial" w:hAnsi="Arial" w:cs="Arial"/>
                <w:color w:val="000000"/>
                <w:sz w:val="19"/>
                <w:szCs w:val="19"/>
              </w:rPr>
              <w:tab/>
            </w:r>
          </w:p>
          <w:p w:rsidR="005F1C30" w:rsidRPr="00795A0F" w:rsidRDefault="005F1C30" w:rsidP="002845E1">
            <w:pPr>
              <w:pStyle w:val="BodyText"/>
              <w:ind w:right="270"/>
              <w:jc w:val="left"/>
              <w:rPr>
                <w:rFonts w:ascii="Arial" w:hAnsi="Arial" w:cs="Arial"/>
                <w:color w:val="000000"/>
                <w:sz w:val="19"/>
                <w:szCs w:val="19"/>
              </w:rPr>
            </w:pPr>
            <w:r w:rsidRPr="00795A0F">
              <w:rPr>
                <w:rFonts w:ascii="Arial" w:hAnsi="Arial" w:cs="Arial"/>
                <w:color w:val="CC0000"/>
                <w:sz w:val="19"/>
                <w:szCs w:val="19"/>
              </w:rPr>
              <w:t>Red</w:t>
            </w:r>
            <w:r w:rsidRPr="00795A0F">
              <w:rPr>
                <w:rFonts w:ascii="Arial" w:hAnsi="Arial" w:cs="Arial"/>
                <w:color w:val="000000"/>
                <w:sz w:val="19"/>
                <w:szCs w:val="19"/>
              </w:rPr>
              <w:t xml:space="preserve"> Mortgage Capital, LLC</w:t>
            </w:r>
          </w:p>
          <w:p w:rsidR="005F1C30" w:rsidRPr="00795A0F" w:rsidRDefault="005F1C30" w:rsidP="002845E1">
            <w:pPr>
              <w:pStyle w:val="BodyText"/>
              <w:ind w:right="270"/>
              <w:jc w:val="left"/>
              <w:rPr>
                <w:rFonts w:ascii="Arial" w:hAnsi="Arial" w:cs="Arial"/>
                <w:color w:val="000000"/>
                <w:sz w:val="19"/>
                <w:szCs w:val="19"/>
              </w:rPr>
            </w:pPr>
            <w:r w:rsidRPr="00795A0F">
              <w:rPr>
                <w:rFonts w:ascii="Arial" w:hAnsi="Arial" w:cs="Arial"/>
                <w:color w:val="000000"/>
                <w:sz w:val="19"/>
                <w:szCs w:val="19"/>
              </w:rPr>
              <w:t>bccain@</w:t>
            </w:r>
            <w:r w:rsidRPr="00795A0F">
              <w:rPr>
                <w:rFonts w:ascii="Arial" w:hAnsi="Arial" w:cs="Arial"/>
                <w:color w:val="CC0000"/>
                <w:sz w:val="19"/>
                <w:szCs w:val="19"/>
              </w:rPr>
              <w:t>red</w:t>
            </w:r>
            <w:r w:rsidRPr="00795A0F">
              <w:rPr>
                <w:rFonts w:ascii="Arial" w:hAnsi="Arial" w:cs="Arial"/>
                <w:color w:val="000000"/>
                <w:sz w:val="19"/>
                <w:szCs w:val="19"/>
              </w:rPr>
              <w:t>capitalgroup.com</w:t>
            </w:r>
          </w:p>
          <w:p w:rsidR="005F1C30" w:rsidRPr="00795A0F" w:rsidRDefault="005F1C30" w:rsidP="002845E1">
            <w:pPr>
              <w:pStyle w:val="BodyText"/>
              <w:ind w:right="270"/>
              <w:jc w:val="left"/>
              <w:rPr>
                <w:rFonts w:ascii="Arial" w:hAnsi="Arial"/>
                <w:b/>
                <w:color w:val="333333"/>
                <w:sz w:val="24"/>
                <w:szCs w:val="24"/>
              </w:rPr>
            </w:pPr>
            <w:r w:rsidRPr="00795A0F">
              <w:rPr>
                <w:rFonts w:ascii="Arial" w:hAnsi="Arial" w:cs="Arial"/>
                <w:color w:val="000000"/>
                <w:sz w:val="19"/>
                <w:szCs w:val="19"/>
              </w:rPr>
              <w:t>800.837.5100</w:t>
            </w:r>
          </w:p>
        </w:tc>
        <w:tc>
          <w:tcPr>
            <w:tcW w:w="3510" w:type="dxa"/>
            <w:shd w:val="clear" w:color="auto" w:fill="auto"/>
            <w:tcMar>
              <w:top w:w="72" w:type="dxa"/>
              <w:left w:w="43" w:type="dxa"/>
              <w:bottom w:w="72" w:type="dxa"/>
              <w:right w:w="43" w:type="dxa"/>
            </w:tcMar>
          </w:tcPr>
          <w:p w:rsidR="005F1C30" w:rsidRDefault="005F1C30" w:rsidP="002845E1">
            <w:pPr>
              <w:pStyle w:val="TSContactName"/>
            </w:pPr>
            <w:r>
              <w:t>Charles C. Meyer</w:t>
            </w:r>
          </w:p>
          <w:p w:rsidR="005F1C30" w:rsidRDefault="005F1C30" w:rsidP="002845E1">
            <w:pPr>
              <w:pStyle w:val="TSContactInfo"/>
            </w:pPr>
            <w:r>
              <w:t>Senior Managing Director</w:t>
            </w:r>
          </w:p>
          <w:p w:rsidR="005F1C30" w:rsidRDefault="005F1C30" w:rsidP="002845E1">
            <w:pPr>
              <w:pStyle w:val="TSContactInfo"/>
            </w:pPr>
            <w:r w:rsidRPr="00BE6C06">
              <w:rPr>
                <w:color w:val="CC0000"/>
              </w:rPr>
              <w:t>Red</w:t>
            </w:r>
            <w:r>
              <w:t xml:space="preserve"> Mortgage Capital, LLC</w:t>
            </w:r>
          </w:p>
          <w:p w:rsidR="005F1C30" w:rsidRPr="00BE6C06" w:rsidRDefault="005F1C30" w:rsidP="002845E1">
            <w:pPr>
              <w:pStyle w:val="TSContactInfo"/>
            </w:pPr>
            <w:r w:rsidRPr="00BE6C06">
              <w:rPr>
                <w:rStyle w:val="Hyperlink"/>
                <w:color w:val="000000"/>
                <w:u w:val="none"/>
              </w:rPr>
              <w:t>ccmeyer@</w:t>
            </w:r>
            <w:r w:rsidRPr="00BE6C06">
              <w:rPr>
                <w:rStyle w:val="Hyperlink"/>
                <w:color w:val="CC0000"/>
                <w:u w:val="none"/>
              </w:rPr>
              <w:t>red</w:t>
            </w:r>
            <w:r w:rsidRPr="00BE6C06">
              <w:rPr>
                <w:rStyle w:val="Hyperlink"/>
                <w:color w:val="000000"/>
                <w:u w:val="none"/>
              </w:rPr>
              <w:t>capitalgroup.com</w:t>
            </w:r>
          </w:p>
          <w:p w:rsidR="005F1C30" w:rsidRPr="00795A0F" w:rsidRDefault="005F1C30" w:rsidP="002845E1">
            <w:pPr>
              <w:pStyle w:val="TSContactInfo"/>
            </w:pPr>
            <w:r>
              <w:t>800.837.5100</w:t>
            </w:r>
          </w:p>
        </w:tc>
        <w:tc>
          <w:tcPr>
            <w:tcW w:w="3386" w:type="dxa"/>
            <w:shd w:val="clear" w:color="auto" w:fill="auto"/>
            <w:tcMar>
              <w:top w:w="72" w:type="dxa"/>
              <w:left w:w="43" w:type="dxa"/>
              <w:bottom w:w="72" w:type="dxa"/>
              <w:right w:w="43" w:type="dxa"/>
            </w:tcMar>
          </w:tcPr>
          <w:p w:rsidR="005F1C30" w:rsidRPr="00854DF2" w:rsidRDefault="005F1C30" w:rsidP="00854DF2">
            <w:pPr>
              <w:pStyle w:val="BodyText"/>
              <w:ind w:right="270"/>
              <w:jc w:val="left"/>
              <w:rPr>
                <w:rFonts w:ascii="Arial" w:hAnsi="Arial"/>
                <w:b/>
                <w:color w:val="333333"/>
                <w:sz w:val="24"/>
                <w:szCs w:val="24"/>
              </w:rPr>
            </w:pPr>
          </w:p>
        </w:tc>
      </w:tr>
    </w:tbl>
    <w:p w:rsidR="00225556" w:rsidRDefault="00225556" w:rsidP="001D066A">
      <w:pPr>
        <w:pStyle w:val="TSDisclaimer"/>
        <w:rPr>
          <w:rStyle w:val="TSRedBold"/>
        </w:rPr>
        <w:sectPr w:rsidR="00225556" w:rsidSect="00205625">
          <w:headerReference w:type="default" r:id="rId12"/>
          <w:endnotePr>
            <w:numFmt w:val="decimal"/>
          </w:endnotePr>
          <w:type w:val="continuous"/>
          <w:pgSz w:w="12240" w:h="15840" w:code="1"/>
          <w:pgMar w:top="1440" w:right="1008" w:bottom="1008" w:left="1008" w:header="864" w:footer="288" w:gutter="0"/>
          <w:cols w:space="720"/>
          <w:formProt w:val="0"/>
          <w:noEndnote/>
        </w:sectPr>
      </w:pPr>
    </w:p>
    <w:p w:rsidR="00225556" w:rsidRPr="00B71C30" w:rsidRDefault="005565E4" w:rsidP="005565E4">
      <w:pPr>
        <w:pStyle w:val="TSDisclaimer"/>
        <w:tabs>
          <w:tab w:val="left" w:pos="3135"/>
        </w:tabs>
        <w:rPr>
          <w:rStyle w:val="TSRedBold"/>
          <w:sz w:val="8"/>
          <w:szCs w:val="8"/>
        </w:rPr>
      </w:pPr>
      <w:r w:rsidRPr="00B71C30">
        <w:rPr>
          <w:rStyle w:val="TSRedBold"/>
          <w:sz w:val="8"/>
          <w:szCs w:val="8"/>
        </w:rPr>
        <w:lastRenderedPageBreak/>
        <w:tab/>
      </w:r>
    </w:p>
    <w:p w:rsidR="00B71C30" w:rsidRDefault="00B71C30" w:rsidP="00B71C30">
      <w:pPr>
        <w:pStyle w:val="TSDisclaimer"/>
      </w:pPr>
      <w:r w:rsidRPr="004B47CE">
        <w:rPr>
          <w:b/>
          <w:color w:val="CC0000"/>
        </w:rPr>
        <w:t>Red</w:t>
      </w:r>
      <w:r w:rsidRPr="004B47CE">
        <w:rPr>
          <w:b/>
          <w:color w:val="333333"/>
        </w:rPr>
        <w:t xml:space="preserve"> </w:t>
      </w:r>
      <w:r w:rsidRPr="00504CB0">
        <w:rPr>
          <w:b/>
        </w:rPr>
        <w:t>Mortgage Capital</w:t>
      </w:r>
      <w:r>
        <w:rPr>
          <w:b/>
        </w:rPr>
        <w:t>, LLC</w:t>
      </w:r>
      <w:r w:rsidRPr="00504CB0">
        <w:t xml:space="preserve"> is a leading FHA-approved Mortgagee and MAP/LEAN lender and actively provides financing utilizing FHA insurance programs nationwide pursuant to Multifamily Accelerated Processing (MAP) and LEAN underwriting methods.</w:t>
      </w:r>
    </w:p>
    <w:p w:rsidR="0068709E" w:rsidRPr="005F1C30" w:rsidRDefault="0068709E" w:rsidP="005F1C30">
      <w:pPr>
        <w:pStyle w:val="TSDisclaimer"/>
        <w:rPr>
          <w:sz w:val="12"/>
          <w:szCs w:val="12"/>
        </w:rPr>
      </w:pPr>
    </w:p>
    <w:p w:rsidR="0068709E" w:rsidRDefault="0068709E" w:rsidP="005F1C30">
      <w:pPr>
        <w:pStyle w:val="TSDisclaimer"/>
      </w:pPr>
      <w:r w:rsidRPr="001D066A">
        <w:t xml:space="preserve">In its prequalifying review, </w:t>
      </w:r>
      <w:r w:rsidRPr="001D066A">
        <w:rPr>
          <w:rStyle w:val="TSRedBold"/>
        </w:rPr>
        <w:t>Red</w:t>
      </w:r>
      <w:r w:rsidRPr="001D066A">
        <w:t xml:space="preserve"> </w:t>
      </w:r>
      <w:r w:rsidRPr="001D066A">
        <w:rPr>
          <w:rStyle w:val="TSBold"/>
        </w:rPr>
        <w:t>Mortgage Capital</w:t>
      </w:r>
      <w:r w:rsidR="002D4233" w:rsidRPr="001D066A">
        <w:rPr>
          <w:rStyle w:val="TSBold"/>
        </w:rPr>
        <w:t>, LLC</w:t>
      </w:r>
      <w:r w:rsidRPr="001D066A">
        <w:t xml:space="preserve"> will attempt to estimate both the loan amount and the fees and costs associated with the transaction. Actual loan amounts and actual fees and expenses may vary from the prequalifying estimates. A prequalifying estimate is not a commitment to make a loan.</w:t>
      </w:r>
    </w:p>
    <w:p w:rsidR="005F1C30" w:rsidRPr="005F1C30" w:rsidRDefault="005F1C30" w:rsidP="005F1C30">
      <w:pPr>
        <w:pStyle w:val="TSDisclaimer"/>
        <w:rPr>
          <w:sz w:val="12"/>
          <w:szCs w:val="12"/>
        </w:rPr>
      </w:pPr>
    </w:p>
    <w:p w:rsidR="005F1C30" w:rsidRPr="00E00E08" w:rsidRDefault="005F1C30" w:rsidP="005F1C30">
      <w:pPr>
        <w:pStyle w:val="TSDisclaimer"/>
        <w:rPr>
          <w:snapToGrid w:val="0"/>
        </w:rPr>
      </w:pPr>
      <w:r w:rsidRPr="00E00E08">
        <w:rPr>
          <w:snapToGrid w:val="0"/>
          <w:vertAlign w:val="superscript"/>
        </w:rPr>
        <w:t>(1)</w:t>
      </w:r>
      <w:r w:rsidRPr="00E00E08">
        <w:rPr>
          <w:snapToGrid w:val="0"/>
        </w:rPr>
        <w:t xml:space="preserve"> Affordable defined as: (a) properties that have a recorded regulatory agreement in effect for at least 15 years after final endorsement, (b) properties that meet at least the minimum Low Income Housing Tax Credit (LIHTC) restrictions of 20% of units at 50% of the Area Median Income (AMI), or 40% of units at 60% of AMI, with economic rents (i.e. portion paid by tenants) on those units no greater than LIHTC rents, and (c) mixed income properties if the minimum low income unit rent and occupancy restrictions and regulatory agreement meet the above criteria (i.e. properties need not use LIHTCs to be considered affordable so long as they comply with (a) and (b)).</w:t>
      </w:r>
    </w:p>
    <w:p w:rsidR="005F1C30" w:rsidRPr="005F1C30" w:rsidRDefault="005F1C30" w:rsidP="005F1C30">
      <w:pPr>
        <w:pStyle w:val="TSDisclaimer"/>
        <w:rPr>
          <w:snapToGrid w:val="0"/>
          <w:sz w:val="12"/>
          <w:szCs w:val="12"/>
          <w:vertAlign w:val="superscript"/>
        </w:rPr>
      </w:pPr>
    </w:p>
    <w:p w:rsidR="005F1C30" w:rsidRDefault="005F1C30" w:rsidP="005F1C30">
      <w:pPr>
        <w:pStyle w:val="TSDisclaimer"/>
        <w:rPr>
          <w:snapToGrid w:val="0"/>
        </w:rPr>
      </w:pPr>
      <w:r w:rsidRPr="00E00E08">
        <w:rPr>
          <w:snapToGrid w:val="0"/>
          <w:vertAlign w:val="superscript"/>
        </w:rPr>
        <w:t>(2)</w:t>
      </w:r>
      <w:r w:rsidRPr="00E00E08">
        <w:rPr>
          <w:snapToGrid w:val="0"/>
        </w:rPr>
        <w:t xml:space="preserve"> Rental assisted defined as: properties that have at least 90% of their units supported by a project based rental assistance contract.</w:t>
      </w:r>
    </w:p>
    <w:p w:rsidR="005F1C30" w:rsidRPr="005F1C30" w:rsidRDefault="005F1C30" w:rsidP="005F1C30">
      <w:pPr>
        <w:pStyle w:val="TSDisclaimer"/>
        <w:rPr>
          <w:snapToGrid w:val="0"/>
          <w:sz w:val="12"/>
          <w:szCs w:val="12"/>
        </w:rPr>
      </w:pPr>
    </w:p>
    <w:p w:rsidR="00E07893" w:rsidRPr="005F1C30" w:rsidRDefault="00026AD8" w:rsidP="005F1C30">
      <w:pPr>
        <w:pStyle w:val="TSDisclaimer"/>
        <w:jc w:val="left"/>
        <w:rPr>
          <w:snapToGrid w:val="0"/>
        </w:rPr>
      </w:pPr>
      <w:r w:rsidRPr="001D066A">
        <w:rPr>
          <w:rStyle w:val="TSRCGOfficesChar"/>
          <w:b/>
          <w:color w:val="CC0000"/>
        </w:rPr>
        <w:t>RED</w:t>
      </w:r>
      <w:r w:rsidRPr="001D066A">
        <w:rPr>
          <w:rStyle w:val="TSRCGOfficesChar"/>
          <w:b/>
        </w:rPr>
        <w:t xml:space="preserve"> CAPITAL GROUP</w:t>
      </w:r>
      <w:r w:rsidR="00EB049A" w:rsidRPr="001D066A">
        <w:rPr>
          <w:rStyle w:val="TSRCGOfficesChar"/>
          <w:b/>
        </w:rPr>
        <w:t>, LLC</w:t>
      </w:r>
      <w:r w:rsidRPr="001D066A">
        <w:rPr>
          <w:rStyle w:val="TSRCGOfficesChar"/>
        </w:rPr>
        <w:t xml:space="preserve"> Offices</w:t>
      </w:r>
      <w:r w:rsidRPr="00EB049A">
        <w:rPr>
          <w:rFonts w:ascii="Arial" w:hAnsi="Arial" w:cs="Arial"/>
          <w:snapToGrid w:val="0"/>
          <w:sz w:val="18"/>
        </w:rPr>
        <w:br/>
      </w:r>
      <w:r w:rsidR="00B71C30" w:rsidRPr="00FF18AE">
        <w:rPr>
          <w:rStyle w:val="TSOfficesChar"/>
        </w:rPr>
        <w:t>Columbus, OH</w:t>
      </w:r>
      <w:r w:rsidR="00B71C30" w:rsidRPr="00E23598">
        <w:rPr>
          <w:rStyle w:val="TSOfficesChar"/>
          <w:color w:val="CC0000"/>
        </w:rPr>
        <w:t>_</w:t>
      </w:r>
      <w:r w:rsidR="00B71C30" w:rsidRPr="00FF18AE">
        <w:rPr>
          <w:rStyle w:val="TSOfficesChar"/>
        </w:rPr>
        <w:t>Chicago, IL</w:t>
      </w:r>
      <w:r w:rsidR="00B71C30" w:rsidRPr="00E23598">
        <w:rPr>
          <w:rStyle w:val="TSOfficesChar"/>
          <w:color w:val="CC0000"/>
        </w:rPr>
        <w:t>_</w:t>
      </w:r>
      <w:r w:rsidR="00B71C30" w:rsidRPr="00FF18AE">
        <w:rPr>
          <w:rStyle w:val="TSOfficesChar"/>
        </w:rPr>
        <w:t>Charlotte, NC</w:t>
      </w:r>
      <w:r w:rsidR="00B71C30" w:rsidRPr="00E23598">
        <w:rPr>
          <w:rStyle w:val="TSOfficesChar"/>
          <w:color w:val="CC0000"/>
        </w:rPr>
        <w:t>_</w:t>
      </w:r>
      <w:r w:rsidR="00B71C30" w:rsidRPr="00FF18AE">
        <w:rPr>
          <w:rStyle w:val="TSOfficesChar"/>
        </w:rPr>
        <w:t>Dallas, TX</w:t>
      </w:r>
      <w:r w:rsidR="00B71C30" w:rsidRPr="00E23598">
        <w:rPr>
          <w:rStyle w:val="TSOfficesChar"/>
          <w:color w:val="CC0000"/>
        </w:rPr>
        <w:t>_</w:t>
      </w:r>
      <w:r w:rsidR="00B71C30" w:rsidRPr="00FF18AE">
        <w:rPr>
          <w:rStyle w:val="TSOfficesChar"/>
        </w:rPr>
        <w:t>Fairfield, CT</w:t>
      </w:r>
      <w:r w:rsidR="00B71C30" w:rsidRPr="00E23598">
        <w:rPr>
          <w:rStyle w:val="TSOfficesChar"/>
          <w:color w:val="CC0000"/>
        </w:rPr>
        <w:t>_</w:t>
      </w:r>
      <w:r w:rsidR="00B71C30" w:rsidRPr="00FF18AE">
        <w:rPr>
          <w:rStyle w:val="TSOfficesChar"/>
        </w:rPr>
        <w:t>Nashville, TN</w:t>
      </w:r>
      <w:r w:rsidR="00B71C30" w:rsidRPr="00E23598">
        <w:rPr>
          <w:rStyle w:val="TSOfficesChar"/>
          <w:color w:val="CC0000"/>
        </w:rPr>
        <w:t>_</w:t>
      </w:r>
      <w:r w:rsidR="00B71C30" w:rsidRPr="00FF18AE">
        <w:rPr>
          <w:rStyle w:val="TSOfficesChar"/>
        </w:rPr>
        <w:t>Newport Beach, CA</w:t>
      </w:r>
      <w:r w:rsidR="00B71C30" w:rsidRPr="00E23598">
        <w:rPr>
          <w:rStyle w:val="TSOfficesChar"/>
          <w:color w:val="CC0000"/>
        </w:rPr>
        <w:t>_</w:t>
      </w:r>
      <w:r w:rsidR="00B71C30" w:rsidRPr="00FF18AE">
        <w:rPr>
          <w:rStyle w:val="TSOfficesChar"/>
        </w:rPr>
        <w:t>Reston, VA</w:t>
      </w:r>
      <w:r w:rsidR="00B71C30" w:rsidRPr="00E23598">
        <w:rPr>
          <w:rStyle w:val="TSOfficesChar"/>
          <w:color w:val="CC0000"/>
        </w:rPr>
        <w:t>_</w:t>
      </w:r>
      <w:r w:rsidR="00B71C30" w:rsidRPr="00FF18AE">
        <w:rPr>
          <w:rStyle w:val="TSOfficesChar"/>
        </w:rPr>
        <w:t>San Diego, CA</w:t>
      </w:r>
    </w:p>
    <w:sectPr w:rsidR="00E07893" w:rsidRPr="005F1C30" w:rsidSect="005F1C30">
      <w:headerReference w:type="default" r:id="rId13"/>
      <w:endnotePr>
        <w:numFmt w:val="decimal"/>
      </w:endnotePr>
      <w:type w:val="continuous"/>
      <w:pgSz w:w="12240" w:h="15840" w:code="1"/>
      <w:pgMar w:top="1440" w:right="1008" w:bottom="630" w:left="1008" w:header="864"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C2" w:rsidRDefault="00D50DC2">
      <w:r>
        <w:separator/>
      </w:r>
    </w:p>
  </w:endnote>
  <w:endnote w:type="continuationSeparator" w:id="0">
    <w:p w:rsidR="00D50DC2" w:rsidRDefault="00D5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nk One Special Helvetica">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nc One Capital Logo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2" w:rsidRPr="00026AD8" w:rsidRDefault="002C503B" w:rsidP="009A6F7E">
    <w:pPr>
      <w:widowControl w:val="0"/>
      <w:tabs>
        <w:tab w:val="center" w:pos="4680"/>
      </w:tabs>
      <w:jc w:val="center"/>
      <w:rPr>
        <w:b/>
        <w:color w:val="000000"/>
        <w:sz w:val="18"/>
        <w:szCs w:val="18"/>
      </w:rPr>
    </w:pPr>
    <w:r>
      <w:rPr>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468pt;margin-top:10in;width:108pt;height:54pt;z-index:-251658240;mso-position-horizontal-relative:page;mso-position-vertical-relative:page">
          <v:imagedata r:id="rId1" o:title="1"/>
          <w10:wrap anchorx="page" anchory="page"/>
        </v:shape>
      </w:pict>
    </w:r>
    <w:r w:rsidR="00D50DC2" w:rsidRPr="00026AD8">
      <w:rPr>
        <w:color w:val="000000"/>
        <w:sz w:val="18"/>
        <w:szCs w:val="18"/>
      </w:rPr>
      <w:t xml:space="preserve"> </w:t>
    </w:r>
    <w:r w:rsidR="00D50DC2" w:rsidRPr="00026AD8">
      <w:rPr>
        <w:color w:val="000000"/>
      </w:rPr>
      <w:t>FHA-TS-0</w:t>
    </w:r>
    <w:r w:rsidR="005F1C30">
      <w:rPr>
        <w:color w:val="000000"/>
      </w:rPr>
      <w:t>05</w:t>
    </w:r>
    <w:r w:rsidR="00D50DC2" w:rsidRPr="00026AD8">
      <w:rPr>
        <w:color w:val="000000"/>
        <w:sz w:val="15"/>
        <w:szCs w:val="15"/>
      </w:rPr>
      <w:t xml:space="preserve"> (</w:t>
    </w:r>
    <w:r w:rsidR="00D50DC2">
      <w:rPr>
        <w:color w:val="000000"/>
        <w:sz w:val="15"/>
        <w:szCs w:val="15"/>
      </w:rPr>
      <w:t>vers_121211</w:t>
    </w:r>
    <w:r w:rsidR="00D50DC2" w:rsidRPr="00026AD8">
      <w:rPr>
        <w:color w:val="000000"/>
        <w:sz w:val="15"/>
        <w:szCs w:val="15"/>
      </w:rPr>
      <w:t>)</w:t>
    </w:r>
    <w:r w:rsidR="00D50DC2" w:rsidRPr="00026AD8">
      <w:rPr>
        <w:color w:val="000000"/>
      </w:rPr>
      <w:t xml:space="preserve"> Page </w:t>
    </w:r>
    <w:r w:rsidR="00D50DC2" w:rsidRPr="00026AD8">
      <w:rPr>
        <w:rStyle w:val="PageNumber"/>
        <w:color w:val="000000"/>
      </w:rPr>
      <w:fldChar w:fldCharType="begin"/>
    </w:r>
    <w:r w:rsidR="00D50DC2" w:rsidRPr="00026AD8">
      <w:rPr>
        <w:rStyle w:val="PageNumber"/>
        <w:color w:val="000000"/>
      </w:rPr>
      <w:instrText xml:space="preserve"> PAGE </w:instrText>
    </w:r>
    <w:r w:rsidR="00D50DC2" w:rsidRPr="00026AD8">
      <w:rPr>
        <w:rStyle w:val="PageNumber"/>
        <w:color w:val="000000"/>
      </w:rPr>
      <w:fldChar w:fldCharType="separate"/>
    </w:r>
    <w:r>
      <w:rPr>
        <w:rStyle w:val="PageNumber"/>
        <w:noProof/>
        <w:color w:val="000000"/>
      </w:rPr>
      <w:t>2</w:t>
    </w:r>
    <w:r w:rsidR="00D50DC2" w:rsidRPr="00026AD8">
      <w:rPr>
        <w:rStyle w:val="PageNumber"/>
        <w:color w:val="000000"/>
      </w:rPr>
      <w:fldChar w:fldCharType="end"/>
    </w:r>
    <w:r w:rsidR="00D50DC2" w:rsidRPr="00026AD8">
      <w:rPr>
        <w:color w:val="000000"/>
      </w:rPr>
      <w:t xml:space="preserve"> of </w:t>
    </w:r>
    <w:r w:rsidR="00D50DC2" w:rsidRPr="00026AD8">
      <w:rPr>
        <w:rStyle w:val="PageNumber"/>
        <w:color w:val="000000"/>
      </w:rPr>
      <w:fldChar w:fldCharType="begin"/>
    </w:r>
    <w:r w:rsidR="00D50DC2" w:rsidRPr="00026AD8">
      <w:rPr>
        <w:rStyle w:val="PageNumber"/>
        <w:color w:val="000000"/>
      </w:rPr>
      <w:instrText xml:space="preserve"> NUMPAGES </w:instrText>
    </w:r>
    <w:r w:rsidR="00D50DC2" w:rsidRPr="00026AD8">
      <w:rPr>
        <w:rStyle w:val="PageNumber"/>
        <w:color w:val="000000"/>
      </w:rPr>
      <w:fldChar w:fldCharType="separate"/>
    </w:r>
    <w:r>
      <w:rPr>
        <w:rStyle w:val="PageNumber"/>
        <w:noProof/>
        <w:color w:val="000000"/>
      </w:rPr>
      <w:t>2</w:t>
    </w:r>
    <w:r w:rsidR="00D50DC2" w:rsidRPr="00026AD8">
      <w:rPr>
        <w:rStyle w:val="PageNumbe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2" w:rsidRPr="00026AD8" w:rsidRDefault="002C503B" w:rsidP="008C2530">
    <w:pPr>
      <w:widowControl w:val="0"/>
      <w:tabs>
        <w:tab w:val="center" w:pos="4680"/>
      </w:tabs>
      <w:jc w:val="center"/>
      <w:rPr>
        <w:b/>
        <w:color w:val="000000"/>
        <w:sz w:val="18"/>
        <w:szCs w:val="18"/>
      </w:rPr>
    </w:pPr>
    <w:r>
      <w:rPr>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8pt;margin-top:10in;width:108pt;height:54pt;z-index:-251659264;mso-position-horizontal-relative:page;mso-position-vertical-relative:page">
          <v:imagedata r:id="rId1" o:title="1"/>
          <w10:wrap anchorx="page" anchory="page"/>
        </v:shape>
      </w:pict>
    </w:r>
    <w:r w:rsidR="00D50DC2" w:rsidRPr="00026AD8">
      <w:rPr>
        <w:color w:val="000000"/>
        <w:sz w:val="18"/>
        <w:szCs w:val="18"/>
      </w:rPr>
      <w:t xml:space="preserve"> </w:t>
    </w:r>
    <w:r w:rsidR="00D50DC2" w:rsidRPr="00026AD8">
      <w:rPr>
        <w:color w:val="000000"/>
      </w:rPr>
      <w:t>FHA-TS-0</w:t>
    </w:r>
    <w:r w:rsidR="00D50DC2">
      <w:rPr>
        <w:color w:val="000000"/>
      </w:rPr>
      <w:t>05</w:t>
    </w:r>
    <w:r w:rsidR="00D50DC2" w:rsidRPr="00026AD8">
      <w:rPr>
        <w:color w:val="000000"/>
        <w:sz w:val="15"/>
        <w:szCs w:val="15"/>
      </w:rPr>
      <w:t xml:space="preserve"> (</w:t>
    </w:r>
    <w:r w:rsidR="00D50DC2">
      <w:rPr>
        <w:color w:val="000000"/>
        <w:sz w:val="15"/>
        <w:szCs w:val="15"/>
      </w:rPr>
      <w:t>vers_121211</w:t>
    </w:r>
    <w:r w:rsidR="00D50DC2" w:rsidRPr="00026AD8">
      <w:rPr>
        <w:color w:val="000000"/>
        <w:sz w:val="15"/>
        <w:szCs w:val="15"/>
      </w:rPr>
      <w:t>)</w:t>
    </w:r>
    <w:r w:rsidR="00D50DC2" w:rsidRPr="00026AD8">
      <w:rPr>
        <w:color w:val="000000"/>
      </w:rPr>
      <w:t xml:space="preserve"> Page </w:t>
    </w:r>
    <w:r w:rsidR="00D50DC2" w:rsidRPr="00026AD8">
      <w:rPr>
        <w:rStyle w:val="PageNumber"/>
        <w:color w:val="000000"/>
      </w:rPr>
      <w:fldChar w:fldCharType="begin"/>
    </w:r>
    <w:r w:rsidR="00D50DC2" w:rsidRPr="00026AD8">
      <w:rPr>
        <w:rStyle w:val="PageNumber"/>
        <w:color w:val="000000"/>
      </w:rPr>
      <w:instrText xml:space="preserve"> PAGE </w:instrText>
    </w:r>
    <w:r w:rsidR="00D50DC2" w:rsidRPr="00026AD8">
      <w:rPr>
        <w:rStyle w:val="PageNumber"/>
        <w:color w:val="000000"/>
      </w:rPr>
      <w:fldChar w:fldCharType="separate"/>
    </w:r>
    <w:r>
      <w:rPr>
        <w:rStyle w:val="PageNumber"/>
        <w:noProof/>
        <w:color w:val="000000"/>
      </w:rPr>
      <w:t>1</w:t>
    </w:r>
    <w:r w:rsidR="00D50DC2" w:rsidRPr="00026AD8">
      <w:rPr>
        <w:rStyle w:val="PageNumber"/>
        <w:color w:val="000000"/>
      </w:rPr>
      <w:fldChar w:fldCharType="end"/>
    </w:r>
    <w:r w:rsidR="00D50DC2" w:rsidRPr="00026AD8">
      <w:rPr>
        <w:color w:val="000000"/>
      </w:rPr>
      <w:t xml:space="preserve"> of </w:t>
    </w:r>
    <w:r w:rsidR="00D50DC2" w:rsidRPr="00026AD8">
      <w:rPr>
        <w:rStyle w:val="PageNumber"/>
        <w:color w:val="000000"/>
      </w:rPr>
      <w:fldChar w:fldCharType="begin"/>
    </w:r>
    <w:r w:rsidR="00D50DC2" w:rsidRPr="00026AD8">
      <w:rPr>
        <w:rStyle w:val="PageNumber"/>
        <w:color w:val="000000"/>
      </w:rPr>
      <w:instrText xml:space="preserve"> NUMPAGES </w:instrText>
    </w:r>
    <w:r w:rsidR="00D50DC2" w:rsidRPr="00026AD8">
      <w:rPr>
        <w:rStyle w:val="PageNumber"/>
        <w:color w:val="000000"/>
      </w:rPr>
      <w:fldChar w:fldCharType="separate"/>
    </w:r>
    <w:r>
      <w:rPr>
        <w:rStyle w:val="PageNumber"/>
        <w:noProof/>
        <w:color w:val="000000"/>
      </w:rPr>
      <w:t>2</w:t>
    </w:r>
    <w:r w:rsidR="00D50DC2" w:rsidRPr="00026AD8">
      <w:rPr>
        <w:rStyle w:val="PageNumbe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C2" w:rsidRDefault="00D50DC2">
      <w:r>
        <w:separator/>
      </w:r>
    </w:p>
  </w:footnote>
  <w:footnote w:type="continuationSeparator" w:id="0">
    <w:p w:rsidR="00D50DC2" w:rsidRDefault="00D50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2" w:rsidRDefault="00D50DC2">
    <w:pPr>
      <w:pStyle w:val="Header"/>
    </w:pPr>
  </w:p>
  <w:p w:rsidR="00D50DC2" w:rsidRDefault="00D50DC2">
    <w:pPr>
      <w:pStyle w:val="Header"/>
    </w:pPr>
  </w:p>
  <w:p w:rsidR="00D50DC2" w:rsidRDefault="002C50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75pt;width:612pt;height:108pt;z-index:-251656192;mso-position-horizontal-relative:page;mso-position-vertical-relative:page" wrapcoords="-26 0 -26 21450 21600 21450 21600 0 -26 0">
          <v:imagedata r:id="rId1" o:title="termSheetHeader_HighRes"/>
          <w10:wrap type="tight"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2" w:rsidRDefault="00D50D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C2" w:rsidRDefault="00D50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77FC"/>
    <w:multiLevelType w:val="hybridMultilevel"/>
    <w:tmpl w:val="9F9CB6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38F31BB"/>
    <w:multiLevelType w:val="hybridMultilevel"/>
    <w:tmpl w:val="030891C2"/>
    <w:lvl w:ilvl="0" w:tplc="2F6486B4">
      <w:start w:val="1"/>
      <w:numFmt w:val="bullet"/>
      <w:lvlText w:val=""/>
      <w:lvlJc w:val="left"/>
      <w:pPr>
        <w:tabs>
          <w:tab w:val="num" w:pos="216"/>
        </w:tabs>
        <w:ind w:left="216" w:hanging="216"/>
      </w:pPr>
      <w:rPr>
        <w:rFonts w:ascii="Symbol" w:hAnsi="Symbol" w:hint="default"/>
        <w:color w:val="auto"/>
        <w:sz w:val="16"/>
        <w:szCs w:val="1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E91798"/>
    <w:multiLevelType w:val="hybridMultilevel"/>
    <w:tmpl w:val="A5C4C760"/>
    <w:lvl w:ilvl="0" w:tplc="0409000F">
      <w:start w:val="1"/>
      <w:numFmt w:val="decimal"/>
      <w:lvlText w:val="%1."/>
      <w:lvlJc w:val="left"/>
      <w:pPr>
        <w:tabs>
          <w:tab w:val="num" w:pos="360"/>
        </w:tabs>
        <w:ind w:left="360" w:hanging="360"/>
      </w:pPr>
      <w:rPr>
        <w:rFonts w:hint="default"/>
        <w:color w:val="333333"/>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962090"/>
    <w:multiLevelType w:val="hybridMultilevel"/>
    <w:tmpl w:val="FB7C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D15C9"/>
    <w:multiLevelType w:val="hybridMultilevel"/>
    <w:tmpl w:val="E56AA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15DA8"/>
    <w:multiLevelType w:val="hybridMultilevel"/>
    <w:tmpl w:val="74BA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AA69E4"/>
    <w:multiLevelType w:val="hybridMultilevel"/>
    <w:tmpl w:val="39CCB2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FD37F03"/>
    <w:multiLevelType w:val="hybridMultilevel"/>
    <w:tmpl w:val="E5C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939F4"/>
    <w:multiLevelType w:val="hybridMultilevel"/>
    <w:tmpl w:val="F48C5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2"/>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GakFQzu7VRwvPivz6mXmuDB5tgE=" w:salt="GmX23Kzm/R2eAqiI03Kp1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7"/>
    <o:shapelayout v:ext="edit">
      <o:idmap v:ext="edit" data="2"/>
    </o:shapelayout>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B30"/>
    <w:rsid w:val="0000351E"/>
    <w:rsid w:val="000038B8"/>
    <w:rsid w:val="00010FE3"/>
    <w:rsid w:val="0001215B"/>
    <w:rsid w:val="00026AD8"/>
    <w:rsid w:val="00035377"/>
    <w:rsid w:val="00037B8A"/>
    <w:rsid w:val="000413C0"/>
    <w:rsid w:val="00046AE9"/>
    <w:rsid w:val="00061BA1"/>
    <w:rsid w:val="00062D40"/>
    <w:rsid w:val="00066B30"/>
    <w:rsid w:val="00091025"/>
    <w:rsid w:val="000930A5"/>
    <w:rsid w:val="000B6E65"/>
    <w:rsid w:val="000D1E2E"/>
    <w:rsid w:val="000E7947"/>
    <w:rsid w:val="000F6E9E"/>
    <w:rsid w:val="001040F9"/>
    <w:rsid w:val="00104D3C"/>
    <w:rsid w:val="00106547"/>
    <w:rsid w:val="00113A40"/>
    <w:rsid w:val="00115719"/>
    <w:rsid w:val="00125AD3"/>
    <w:rsid w:val="00135BA3"/>
    <w:rsid w:val="00156658"/>
    <w:rsid w:val="0015668C"/>
    <w:rsid w:val="00171FD9"/>
    <w:rsid w:val="00174A2A"/>
    <w:rsid w:val="00180C34"/>
    <w:rsid w:val="00181F59"/>
    <w:rsid w:val="00190C97"/>
    <w:rsid w:val="001C1839"/>
    <w:rsid w:val="001C77BA"/>
    <w:rsid w:val="001D066A"/>
    <w:rsid w:val="00205625"/>
    <w:rsid w:val="00221CB2"/>
    <w:rsid w:val="00225556"/>
    <w:rsid w:val="00232571"/>
    <w:rsid w:val="00233D58"/>
    <w:rsid w:val="00242411"/>
    <w:rsid w:val="002572B4"/>
    <w:rsid w:val="00257668"/>
    <w:rsid w:val="0026035F"/>
    <w:rsid w:val="0027574B"/>
    <w:rsid w:val="002827D4"/>
    <w:rsid w:val="002A7B82"/>
    <w:rsid w:val="002C2258"/>
    <w:rsid w:val="002C4994"/>
    <w:rsid w:val="002C503B"/>
    <w:rsid w:val="002D1960"/>
    <w:rsid w:val="002D4233"/>
    <w:rsid w:val="002E5FEE"/>
    <w:rsid w:val="002E7082"/>
    <w:rsid w:val="00303D6A"/>
    <w:rsid w:val="00343113"/>
    <w:rsid w:val="00355A85"/>
    <w:rsid w:val="00361412"/>
    <w:rsid w:val="00372B2A"/>
    <w:rsid w:val="00374291"/>
    <w:rsid w:val="00375DE5"/>
    <w:rsid w:val="00380E00"/>
    <w:rsid w:val="0038160F"/>
    <w:rsid w:val="003B7234"/>
    <w:rsid w:val="003C5577"/>
    <w:rsid w:val="003C5C5B"/>
    <w:rsid w:val="003D534B"/>
    <w:rsid w:val="003F679E"/>
    <w:rsid w:val="00401AEA"/>
    <w:rsid w:val="00401B92"/>
    <w:rsid w:val="00402A39"/>
    <w:rsid w:val="00411915"/>
    <w:rsid w:val="00414C97"/>
    <w:rsid w:val="00424D94"/>
    <w:rsid w:val="00430B13"/>
    <w:rsid w:val="00435F3B"/>
    <w:rsid w:val="004439A0"/>
    <w:rsid w:val="00445DD9"/>
    <w:rsid w:val="00474FF1"/>
    <w:rsid w:val="00475B4E"/>
    <w:rsid w:val="00484759"/>
    <w:rsid w:val="00497CCC"/>
    <w:rsid w:val="004A1742"/>
    <w:rsid w:val="004A2976"/>
    <w:rsid w:val="004C34AF"/>
    <w:rsid w:val="004C53FE"/>
    <w:rsid w:val="004C5CAC"/>
    <w:rsid w:val="004D3FCE"/>
    <w:rsid w:val="004D4823"/>
    <w:rsid w:val="004D7B47"/>
    <w:rsid w:val="004E41E8"/>
    <w:rsid w:val="004E5456"/>
    <w:rsid w:val="004F070B"/>
    <w:rsid w:val="00501927"/>
    <w:rsid w:val="005049A1"/>
    <w:rsid w:val="00537DFF"/>
    <w:rsid w:val="00540756"/>
    <w:rsid w:val="005565E4"/>
    <w:rsid w:val="005576D7"/>
    <w:rsid w:val="00571AF9"/>
    <w:rsid w:val="00573DA0"/>
    <w:rsid w:val="00586016"/>
    <w:rsid w:val="005932DF"/>
    <w:rsid w:val="00597B29"/>
    <w:rsid w:val="005A7131"/>
    <w:rsid w:val="005B1F34"/>
    <w:rsid w:val="005B3460"/>
    <w:rsid w:val="005D5600"/>
    <w:rsid w:val="005F1C30"/>
    <w:rsid w:val="00606525"/>
    <w:rsid w:val="00606A9D"/>
    <w:rsid w:val="00606AC4"/>
    <w:rsid w:val="00611429"/>
    <w:rsid w:val="00635FEB"/>
    <w:rsid w:val="00657554"/>
    <w:rsid w:val="00672189"/>
    <w:rsid w:val="00684AE9"/>
    <w:rsid w:val="006855AD"/>
    <w:rsid w:val="0068709E"/>
    <w:rsid w:val="00687279"/>
    <w:rsid w:val="00690BBF"/>
    <w:rsid w:val="006922B8"/>
    <w:rsid w:val="00694F3C"/>
    <w:rsid w:val="006B71AD"/>
    <w:rsid w:val="006D364E"/>
    <w:rsid w:val="006D5166"/>
    <w:rsid w:val="006F1347"/>
    <w:rsid w:val="00704D5A"/>
    <w:rsid w:val="007171FB"/>
    <w:rsid w:val="00717DBF"/>
    <w:rsid w:val="00735621"/>
    <w:rsid w:val="00744091"/>
    <w:rsid w:val="00756D12"/>
    <w:rsid w:val="00767555"/>
    <w:rsid w:val="007A6C8A"/>
    <w:rsid w:val="007C34BE"/>
    <w:rsid w:val="007D7B44"/>
    <w:rsid w:val="00804DAC"/>
    <w:rsid w:val="008054A0"/>
    <w:rsid w:val="008336DC"/>
    <w:rsid w:val="00851809"/>
    <w:rsid w:val="00854DF2"/>
    <w:rsid w:val="008577A9"/>
    <w:rsid w:val="008611DD"/>
    <w:rsid w:val="00871998"/>
    <w:rsid w:val="008743DB"/>
    <w:rsid w:val="008A0DA8"/>
    <w:rsid w:val="008C2530"/>
    <w:rsid w:val="008C79A3"/>
    <w:rsid w:val="008D762A"/>
    <w:rsid w:val="008E2098"/>
    <w:rsid w:val="008F088B"/>
    <w:rsid w:val="008F566A"/>
    <w:rsid w:val="0091547F"/>
    <w:rsid w:val="00916B92"/>
    <w:rsid w:val="00941FE0"/>
    <w:rsid w:val="00944B6C"/>
    <w:rsid w:val="009557F9"/>
    <w:rsid w:val="00980F71"/>
    <w:rsid w:val="00981346"/>
    <w:rsid w:val="00984798"/>
    <w:rsid w:val="00987FD1"/>
    <w:rsid w:val="009A0535"/>
    <w:rsid w:val="009A5B0B"/>
    <w:rsid w:val="009A6F7E"/>
    <w:rsid w:val="009B33A8"/>
    <w:rsid w:val="009D2417"/>
    <w:rsid w:val="009D6AC3"/>
    <w:rsid w:val="009E2562"/>
    <w:rsid w:val="009F3BB1"/>
    <w:rsid w:val="00A039A1"/>
    <w:rsid w:val="00A21100"/>
    <w:rsid w:val="00A26CEA"/>
    <w:rsid w:val="00A41D84"/>
    <w:rsid w:val="00A431F4"/>
    <w:rsid w:val="00A46572"/>
    <w:rsid w:val="00A678D6"/>
    <w:rsid w:val="00A678FA"/>
    <w:rsid w:val="00A77C77"/>
    <w:rsid w:val="00A840AA"/>
    <w:rsid w:val="00A95403"/>
    <w:rsid w:val="00AA39D5"/>
    <w:rsid w:val="00AD266A"/>
    <w:rsid w:val="00AD2999"/>
    <w:rsid w:val="00AD5D9A"/>
    <w:rsid w:val="00AF3648"/>
    <w:rsid w:val="00B24A44"/>
    <w:rsid w:val="00B31910"/>
    <w:rsid w:val="00B47A49"/>
    <w:rsid w:val="00B50074"/>
    <w:rsid w:val="00B71C30"/>
    <w:rsid w:val="00B73932"/>
    <w:rsid w:val="00B846FD"/>
    <w:rsid w:val="00B86C90"/>
    <w:rsid w:val="00BA6A49"/>
    <w:rsid w:val="00BA76B9"/>
    <w:rsid w:val="00BB0BFB"/>
    <w:rsid w:val="00BE0FAD"/>
    <w:rsid w:val="00BE5667"/>
    <w:rsid w:val="00C02F78"/>
    <w:rsid w:val="00C10268"/>
    <w:rsid w:val="00C103B8"/>
    <w:rsid w:val="00C20A3C"/>
    <w:rsid w:val="00C27A6C"/>
    <w:rsid w:val="00C527AE"/>
    <w:rsid w:val="00C56352"/>
    <w:rsid w:val="00C57E2D"/>
    <w:rsid w:val="00CB5579"/>
    <w:rsid w:val="00CC5FDB"/>
    <w:rsid w:val="00CC6992"/>
    <w:rsid w:val="00CD7EE9"/>
    <w:rsid w:val="00D22C97"/>
    <w:rsid w:val="00D50DC2"/>
    <w:rsid w:val="00D5130E"/>
    <w:rsid w:val="00D53CA3"/>
    <w:rsid w:val="00D55178"/>
    <w:rsid w:val="00D553CE"/>
    <w:rsid w:val="00D618AB"/>
    <w:rsid w:val="00D66B85"/>
    <w:rsid w:val="00D7187E"/>
    <w:rsid w:val="00D72527"/>
    <w:rsid w:val="00D82BE7"/>
    <w:rsid w:val="00DB6679"/>
    <w:rsid w:val="00DD22B0"/>
    <w:rsid w:val="00DD7282"/>
    <w:rsid w:val="00E03F30"/>
    <w:rsid w:val="00E07893"/>
    <w:rsid w:val="00E113BA"/>
    <w:rsid w:val="00E15442"/>
    <w:rsid w:val="00E17A5D"/>
    <w:rsid w:val="00E2115A"/>
    <w:rsid w:val="00E428DB"/>
    <w:rsid w:val="00E572D6"/>
    <w:rsid w:val="00E73BD4"/>
    <w:rsid w:val="00E802E7"/>
    <w:rsid w:val="00E830C8"/>
    <w:rsid w:val="00E8436B"/>
    <w:rsid w:val="00E959FF"/>
    <w:rsid w:val="00EB049A"/>
    <w:rsid w:val="00EB25AB"/>
    <w:rsid w:val="00EB392F"/>
    <w:rsid w:val="00EC0B3B"/>
    <w:rsid w:val="00EC2159"/>
    <w:rsid w:val="00EC2685"/>
    <w:rsid w:val="00EC5E78"/>
    <w:rsid w:val="00F06169"/>
    <w:rsid w:val="00F06E0C"/>
    <w:rsid w:val="00F5645E"/>
    <w:rsid w:val="00F6158D"/>
    <w:rsid w:val="00F75325"/>
    <w:rsid w:val="00F9196C"/>
    <w:rsid w:val="00F947A2"/>
    <w:rsid w:val="00FB14CE"/>
    <w:rsid w:val="00FB321C"/>
    <w:rsid w:val="00FC4C95"/>
    <w:rsid w:val="00FD17C5"/>
    <w:rsid w:val="00FE1AE8"/>
    <w:rsid w:val="00FE5FFC"/>
    <w:rsid w:val="00FF18AE"/>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7"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D066A"/>
  </w:style>
  <w:style w:type="paragraph" w:styleId="Heading1">
    <w:name w:val="heading 1"/>
    <w:basedOn w:val="Normal"/>
    <w:next w:val="Normal"/>
    <w:pPr>
      <w:keepNext/>
      <w:ind w:left="90" w:hanging="90"/>
      <w:jc w:val="center"/>
      <w:outlineLvl w:val="0"/>
    </w:pPr>
    <w:rPr>
      <w:b/>
      <w:i/>
      <w:sz w:val="24"/>
    </w:rPr>
  </w:style>
  <w:style w:type="paragraph" w:styleId="Heading2">
    <w:name w:val="heading 2"/>
    <w:basedOn w:val="Normal"/>
    <w:next w:val="Normal"/>
    <w:pPr>
      <w:keepNext/>
      <w:widowControl w:val="0"/>
      <w:tabs>
        <w:tab w:val="center" w:pos="4680"/>
      </w:tabs>
      <w:jc w:val="center"/>
      <w:outlineLvl w:val="1"/>
    </w:pPr>
    <w:rPr>
      <w:rFonts w:ascii="Bank One Special Helvetica" w:hAnsi="Bank One Special Helvetica"/>
      <w:b/>
      <w:sz w:val="28"/>
    </w:rPr>
  </w:style>
  <w:style w:type="paragraph" w:styleId="Heading3">
    <w:name w:val="heading 3"/>
    <w:basedOn w:val="Normal"/>
    <w:next w:val="Normal"/>
    <w:link w:val="Heading3Char"/>
    <w:pPr>
      <w:keepNext/>
      <w:widowControl w:val="0"/>
      <w:tabs>
        <w:tab w:val="center" w:pos="4680"/>
      </w:tabs>
      <w:jc w:val="center"/>
      <w:outlineLvl w:val="2"/>
    </w:pPr>
    <w:rPr>
      <w:rFonts w:ascii="Bank One Special Helvetica" w:hAnsi="Bank One Special Helvetica"/>
      <w:b/>
    </w:rPr>
  </w:style>
  <w:style w:type="paragraph" w:styleId="Heading4">
    <w:name w:val="heading 4"/>
    <w:basedOn w:val="Normal"/>
    <w:next w:val="1"/>
    <w:pPr>
      <w:ind w:left="360"/>
      <w:outlineLvl w:val="3"/>
    </w:pPr>
    <w:rPr>
      <w:rFonts w:ascii="CG Times" w:hAnsi="CG Times"/>
      <w:sz w:val="24"/>
      <w:u w:val="single"/>
    </w:rPr>
  </w:style>
  <w:style w:type="paragraph" w:styleId="Heading5">
    <w:name w:val="heading 5"/>
    <w:basedOn w:val="Normal"/>
    <w:next w:val="Normal"/>
    <w:pPr>
      <w:keepNext/>
      <w:ind w:right="-576"/>
      <w:outlineLvl w:val="4"/>
    </w:pPr>
    <w:rPr>
      <w:rFonts w:ascii="Arial" w:hAnsi="Arial"/>
      <w:b/>
      <w:sz w:val="24"/>
    </w:rPr>
  </w:style>
  <w:style w:type="paragraph" w:styleId="Heading6">
    <w:name w:val="heading 6"/>
    <w:basedOn w:val="Normal"/>
    <w:next w:val="Normal"/>
    <w:pPr>
      <w:keepNext/>
      <w:widowControl w:val="0"/>
      <w:jc w:val="both"/>
      <w:outlineLvl w:val="5"/>
    </w:pPr>
    <w:rPr>
      <w:b/>
      <w:i/>
      <w:sz w:val="22"/>
    </w:rPr>
  </w:style>
  <w:style w:type="paragraph" w:styleId="Heading8">
    <w:name w:val="heading 8"/>
    <w:basedOn w:val="Normal"/>
    <w:next w:val="Normal"/>
    <w:pPr>
      <w:keepNext/>
      <w:ind w:right="-576" w:firstLine="814"/>
      <w:outlineLvl w:val="7"/>
    </w:pPr>
    <w:rPr>
      <w:rFonts w:ascii="Arial" w:hAnsi="Arial"/>
      <w:b/>
      <w:sz w:val="22"/>
    </w:rPr>
  </w:style>
  <w:style w:type="paragraph" w:styleId="Heading9">
    <w:name w:val="heading 9"/>
    <w:basedOn w:val="Normal"/>
    <w:next w:val="Normal"/>
    <w:pPr>
      <w:keepNext/>
      <w:jc w:val="right"/>
      <w:outlineLvl w:val="8"/>
    </w:pPr>
    <w:rPr>
      <w:rFonts w:ascii="Banc One Capital Logos" w:hAnsi="Banc One Capital Logo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style>
  <w:style w:type="paragraph" w:customStyle="1" w:styleId="1">
    <w:name w:val="1"/>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widowControl w:val="0"/>
      <w:tabs>
        <w:tab w:val="left" w:pos="-1440"/>
      </w:tabs>
      <w:ind w:left="3600" w:hanging="720"/>
      <w:jc w:val="both"/>
    </w:pPr>
  </w:style>
  <w:style w:type="paragraph" w:styleId="Title">
    <w:name w:val="Title"/>
    <w:basedOn w:val="Normal"/>
    <w:pPr>
      <w:widowControl w:val="0"/>
      <w:tabs>
        <w:tab w:val="center" w:pos="4680"/>
      </w:tabs>
      <w:jc w:val="center"/>
    </w:pPr>
    <w:rPr>
      <w:rFonts w:ascii="Bank One Special Helvetica" w:hAnsi="Bank One Special Helvetica"/>
      <w:b/>
      <w:sz w:val="28"/>
    </w:rPr>
  </w:style>
  <w:style w:type="paragraph" w:styleId="DocumentMap">
    <w:name w:val="Document Map"/>
    <w:basedOn w:val="Normal"/>
    <w:semiHidden/>
    <w:rsid w:val="00171FD9"/>
    <w:pPr>
      <w:shd w:val="clear" w:color="auto" w:fill="000080"/>
    </w:pPr>
    <w:rPr>
      <w:rFonts w:ascii="Tahoma" w:hAnsi="Tahoma" w:cs="Tahoma"/>
    </w:rPr>
  </w:style>
  <w:style w:type="paragraph" w:styleId="BalloonText">
    <w:name w:val="Balloon Text"/>
    <w:basedOn w:val="Normal"/>
    <w:semiHidden/>
    <w:rsid w:val="00980F71"/>
    <w:rPr>
      <w:rFonts w:ascii="Tahoma" w:hAnsi="Tahoma" w:cs="Tahoma"/>
      <w:sz w:val="16"/>
      <w:szCs w:val="16"/>
    </w:rPr>
  </w:style>
  <w:style w:type="table" w:styleId="TableGrid">
    <w:name w:val="Table Grid"/>
    <w:basedOn w:val="TableNormal"/>
    <w:rsid w:val="00597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rsid w:val="00CB5579"/>
    <w:pPr>
      <w:autoSpaceDE w:val="0"/>
      <w:autoSpaceDN w:val="0"/>
      <w:adjustRightInd w:val="0"/>
      <w:spacing w:line="288" w:lineRule="auto"/>
      <w:textAlignment w:val="center"/>
    </w:pPr>
    <w:rPr>
      <w:rFonts w:ascii="Times" w:hAnsi="Times" w:cs="Times"/>
      <w:color w:val="000000"/>
      <w:sz w:val="24"/>
      <w:szCs w:val="24"/>
    </w:rPr>
  </w:style>
  <w:style w:type="paragraph" w:styleId="BodyText2">
    <w:name w:val="Body Text 2"/>
    <w:basedOn w:val="Normal"/>
    <w:link w:val="BodyText2Char"/>
    <w:rsid w:val="0068709E"/>
    <w:pPr>
      <w:spacing w:after="120" w:line="480" w:lineRule="auto"/>
    </w:pPr>
  </w:style>
  <w:style w:type="character" w:styleId="PageNumber">
    <w:name w:val="page number"/>
    <w:basedOn w:val="DefaultParagraphFont"/>
    <w:rsid w:val="00BA6A49"/>
  </w:style>
  <w:style w:type="character" w:customStyle="1" w:styleId="BodyTextChar">
    <w:name w:val="Body Text Char"/>
    <w:link w:val="BodyText"/>
    <w:rsid w:val="00EB049A"/>
  </w:style>
  <w:style w:type="paragraph" w:customStyle="1" w:styleId="TSBodyCopy">
    <w:name w:val="TS Body Copy"/>
    <w:basedOn w:val="Normal"/>
    <w:link w:val="TSBodyCopyChar"/>
    <w:qFormat/>
    <w:rsid w:val="00F06169"/>
    <w:pPr>
      <w:jc w:val="both"/>
    </w:pPr>
    <w:rPr>
      <w:color w:val="000000"/>
      <w:sz w:val="19"/>
      <w:szCs w:val="19"/>
    </w:rPr>
  </w:style>
  <w:style w:type="paragraph" w:customStyle="1" w:styleId="TSSectionHeader">
    <w:name w:val="TS Section Header"/>
    <w:basedOn w:val="Normal"/>
    <w:link w:val="TSSectionHeaderChar"/>
    <w:qFormat/>
    <w:rsid w:val="00F06169"/>
    <w:rPr>
      <w:rFonts w:ascii="Arial" w:hAnsi="Arial" w:cs="Arial"/>
      <w:b/>
      <w:color w:val="000000"/>
      <w:sz w:val="19"/>
      <w:szCs w:val="19"/>
    </w:rPr>
  </w:style>
  <w:style w:type="character" w:customStyle="1" w:styleId="TSBodyCopyChar">
    <w:name w:val="TS Body Copy Char"/>
    <w:basedOn w:val="DefaultParagraphFont"/>
    <w:link w:val="TSBodyCopy"/>
    <w:rsid w:val="00F06169"/>
    <w:rPr>
      <w:color w:val="000000"/>
      <w:sz w:val="19"/>
      <w:szCs w:val="19"/>
    </w:rPr>
  </w:style>
  <w:style w:type="paragraph" w:customStyle="1" w:styleId="TSHeader">
    <w:name w:val="TS Header"/>
    <w:basedOn w:val="Normal"/>
    <w:link w:val="TSHeaderChar"/>
    <w:qFormat/>
    <w:rsid w:val="00F06169"/>
    <w:pPr>
      <w:tabs>
        <w:tab w:val="center" w:pos="4680"/>
      </w:tabs>
      <w:jc w:val="center"/>
    </w:pPr>
    <w:rPr>
      <w:rFonts w:ascii="Arial" w:hAnsi="Arial" w:cs="Arial"/>
      <w:b/>
      <w:color w:val="000000"/>
      <w:sz w:val="30"/>
      <w:szCs w:val="30"/>
    </w:rPr>
  </w:style>
  <w:style w:type="character" w:customStyle="1" w:styleId="TSSectionHeaderChar">
    <w:name w:val="TS Section Header Char"/>
    <w:basedOn w:val="DefaultParagraphFont"/>
    <w:link w:val="TSSectionHeader"/>
    <w:rsid w:val="00F06169"/>
    <w:rPr>
      <w:rFonts w:ascii="Arial" w:hAnsi="Arial" w:cs="Arial"/>
      <w:b/>
      <w:color w:val="000000"/>
      <w:sz w:val="19"/>
      <w:szCs w:val="19"/>
    </w:rPr>
  </w:style>
  <w:style w:type="paragraph" w:customStyle="1" w:styleId="TSSubhead">
    <w:name w:val="TS Subhead"/>
    <w:basedOn w:val="Heading3"/>
    <w:link w:val="TSSubheadChar"/>
    <w:qFormat/>
    <w:rsid w:val="00F06169"/>
    <w:rPr>
      <w:rFonts w:ascii="Arial" w:hAnsi="Arial" w:cs="Arial"/>
      <w:b w:val="0"/>
      <w:color w:val="000000"/>
      <w:sz w:val="26"/>
      <w:szCs w:val="26"/>
    </w:rPr>
  </w:style>
  <w:style w:type="character" w:customStyle="1" w:styleId="TSHeaderChar">
    <w:name w:val="TS Header Char"/>
    <w:basedOn w:val="DefaultParagraphFont"/>
    <w:link w:val="TSHeader"/>
    <w:rsid w:val="00F06169"/>
    <w:rPr>
      <w:rFonts w:ascii="Arial" w:hAnsi="Arial" w:cs="Arial"/>
      <w:b/>
      <w:color w:val="000000"/>
      <w:sz w:val="30"/>
      <w:szCs w:val="30"/>
    </w:rPr>
  </w:style>
  <w:style w:type="paragraph" w:customStyle="1" w:styleId="TSContactName">
    <w:name w:val="TS Contact Name"/>
    <w:basedOn w:val="BodyText"/>
    <w:link w:val="TSContactNameChar"/>
    <w:qFormat/>
    <w:rsid w:val="00F06169"/>
    <w:pPr>
      <w:ind w:right="270"/>
      <w:jc w:val="left"/>
    </w:pPr>
    <w:rPr>
      <w:rFonts w:ascii="Arial" w:hAnsi="Arial"/>
      <w:b/>
      <w:color w:val="000000"/>
      <w:sz w:val="22"/>
      <w:szCs w:val="22"/>
    </w:rPr>
  </w:style>
  <w:style w:type="character" w:customStyle="1" w:styleId="Heading3Char">
    <w:name w:val="Heading 3 Char"/>
    <w:basedOn w:val="DefaultParagraphFont"/>
    <w:link w:val="Heading3"/>
    <w:rsid w:val="00F06169"/>
    <w:rPr>
      <w:rFonts w:ascii="Bank One Special Helvetica" w:hAnsi="Bank One Special Helvetica"/>
      <w:b/>
    </w:rPr>
  </w:style>
  <w:style w:type="character" w:customStyle="1" w:styleId="TSSubheadChar">
    <w:name w:val="TS Subhead Char"/>
    <w:basedOn w:val="Heading3Char"/>
    <w:link w:val="TSSubhead"/>
    <w:rsid w:val="00F06169"/>
    <w:rPr>
      <w:rFonts w:ascii="Arial" w:hAnsi="Arial" w:cs="Arial"/>
      <w:b w:val="0"/>
      <w:color w:val="000000"/>
      <w:sz w:val="26"/>
      <w:szCs w:val="26"/>
    </w:rPr>
  </w:style>
  <w:style w:type="paragraph" w:customStyle="1" w:styleId="TSContactInfo">
    <w:name w:val="TS Contact Info"/>
    <w:basedOn w:val="BodyText"/>
    <w:link w:val="TSContactInfoChar"/>
    <w:qFormat/>
    <w:rsid w:val="00F06169"/>
    <w:pPr>
      <w:tabs>
        <w:tab w:val="left" w:pos="3356"/>
      </w:tabs>
      <w:ind w:right="270"/>
      <w:jc w:val="left"/>
    </w:pPr>
    <w:rPr>
      <w:rFonts w:ascii="Arial" w:hAnsi="Arial" w:cs="Arial"/>
      <w:color w:val="000000"/>
      <w:sz w:val="19"/>
      <w:szCs w:val="19"/>
    </w:rPr>
  </w:style>
  <w:style w:type="character" w:customStyle="1" w:styleId="TSContactNameChar">
    <w:name w:val="TS Contact Name Char"/>
    <w:basedOn w:val="BodyTextChar"/>
    <w:link w:val="TSContactName"/>
    <w:rsid w:val="00F06169"/>
    <w:rPr>
      <w:rFonts w:ascii="Arial" w:hAnsi="Arial"/>
      <w:b/>
      <w:color w:val="000000"/>
      <w:sz w:val="22"/>
      <w:szCs w:val="22"/>
    </w:rPr>
  </w:style>
  <w:style w:type="character" w:styleId="IntenseReference">
    <w:name w:val="Intense Reference"/>
    <w:basedOn w:val="DefaultParagraphFont"/>
    <w:uiPriority w:val="32"/>
    <w:rsid w:val="008054A0"/>
    <w:rPr>
      <w:b/>
      <w:bCs/>
      <w:smallCaps/>
      <w:color w:val="C0504D" w:themeColor="accent2"/>
      <w:spacing w:val="5"/>
      <w:u w:val="single"/>
    </w:rPr>
  </w:style>
  <w:style w:type="character" w:customStyle="1" w:styleId="TSContactInfoChar">
    <w:name w:val="TS Contact Info Char"/>
    <w:basedOn w:val="BodyTextChar"/>
    <w:link w:val="TSContactInfo"/>
    <w:rsid w:val="00F06169"/>
    <w:rPr>
      <w:rFonts w:ascii="Arial" w:hAnsi="Arial" w:cs="Arial"/>
      <w:color w:val="000000"/>
      <w:sz w:val="19"/>
      <w:szCs w:val="19"/>
    </w:rPr>
  </w:style>
  <w:style w:type="paragraph" w:customStyle="1" w:styleId="TSContactHeader">
    <w:name w:val="TS Contact Header"/>
    <w:basedOn w:val="Normal"/>
    <w:link w:val="TSContactHeaderChar"/>
    <w:qFormat/>
    <w:rsid w:val="008054A0"/>
    <w:pPr>
      <w:tabs>
        <w:tab w:val="left" w:pos="2070"/>
        <w:tab w:val="left" w:pos="2340"/>
      </w:tabs>
      <w:jc w:val="both"/>
    </w:pPr>
    <w:rPr>
      <w:rFonts w:ascii="Arial" w:hAnsi="Arial" w:cs="Arial"/>
      <w:b/>
      <w:color w:val="000000"/>
      <w:sz w:val="24"/>
      <w:szCs w:val="24"/>
    </w:rPr>
  </w:style>
  <w:style w:type="paragraph" w:customStyle="1" w:styleId="TSDisclaimer">
    <w:name w:val="TS Disclaimer"/>
    <w:basedOn w:val="BodyText2"/>
    <w:link w:val="TSDisclaimerChar"/>
    <w:qFormat/>
    <w:rsid w:val="001D066A"/>
    <w:pPr>
      <w:spacing w:after="0" w:line="240" w:lineRule="auto"/>
      <w:jc w:val="both"/>
    </w:pPr>
    <w:rPr>
      <w:color w:val="000000"/>
      <w:sz w:val="16"/>
      <w:szCs w:val="16"/>
    </w:rPr>
  </w:style>
  <w:style w:type="character" w:customStyle="1" w:styleId="TSContactHeaderChar">
    <w:name w:val="TS Contact Header Char"/>
    <w:basedOn w:val="DefaultParagraphFont"/>
    <w:link w:val="TSContactHeader"/>
    <w:rsid w:val="008054A0"/>
    <w:rPr>
      <w:rFonts w:ascii="Arial" w:hAnsi="Arial" w:cs="Arial"/>
      <w:b/>
      <w:color w:val="000000"/>
      <w:sz w:val="24"/>
      <w:szCs w:val="24"/>
    </w:rPr>
  </w:style>
  <w:style w:type="character" w:customStyle="1" w:styleId="TSBold">
    <w:name w:val="TS Bold"/>
    <w:basedOn w:val="DefaultParagraphFont"/>
    <w:qFormat/>
    <w:rsid w:val="001D066A"/>
    <w:rPr>
      <w:b/>
    </w:rPr>
  </w:style>
  <w:style w:type="character" w:customStyle="1" w:styleId="BodyText2Char">
    <w:name w:val="Body Text 2 Char"/>
    <w:basedOn w:val="DefaultParagraphFont"/>
    <w:link w:val="BodyText2"/>
    <w:rsid w:val="001D066A"/>
  </w:style>
  <w:style w:type="character" w:customStyle="1" w:styleId="TSDisclaimerChar">
    <w:name w:val="TS Disclaimer Char"/>
    <w:basedOn w:val="BodyText2Char"/>
    <w:link w:val="TSDisclaimer"/>
    <w:rsid w:val="001D066A"/>
    <w:rPr>
      <w:color w:val="000000"/>
      <w:sz w:val="16"/>
      <w:szCs w:val="16"/>
    </w:rPr>
  </w:style>
  <w:style w:type="character" w:customStyle="1" w:styleId="TSRedBold">
    <w:name w:val="TS Red Bold"/>
    <w:basedOn w:val="DefaultParagraphFont"/>
    <w:qFormat/>
    <w:rsid w:val="001D066A"/>
    <w:rPr>
      <w:b/>
      <w:color w:val="CC0000"/>
    </w:rPr>
  </w:style>
  <w:style w:type="paragraph" w:customStyle="1" w:styleId="TSRCGOffices">
    <w:name w:val="TS RCG Offices"/>
    <w:basedOn w:val="Normal"/>
    <w:link w:val="TSRCGOfficesChar"/>
    <w:qFormat/>
    <w:rsid w:val="001D066A"/>
    <w:rPr>
      <w:rFonts w:ascii="Arial" w:hAnsi="Arial" w:cs="Arial"/>
      <w:snapToGrid w:val="0"/>
      <w:color w:val="000000"/>
      <w:sz w:val="18"/>
    </w:rPr>
  </w:style>
  <w:style w:type="paragraph" w:customStyle="1" w:styleId="TSOffices">
    <w:name w:val="TS Offices"/>
    <w:basedOn w:val="Normal"/>
    <w:link w:val="TSOfficesChar"/>
    <w:qFormat/>
    <w:rsid w:val="001D066A"/>
    <w:rPr>
      <w:rFonts w:ascii="Arial" w:hAnsi="Arial" w:cs="Arial"/>
      <w:snapToGrid w:val="0"/>
      <w:sz w:val="16"/>
      <w:szCs w:val="16"/>
    </w:rPr>
  </w:style>
  <w:style w:type="character" w:customStyle="1" w:styleId="TSRCGOfficesChar">
    <w:name w:val="TS RCG Offices Char"/>
    <w:basedOn w:val="DefaultParagraphFont"/>
    <w:link w:val="TSRCGOffices"/>
    <w:rsid w:val="001D066A"/>
    <w:rPr>
      <w:rFonts w:ascii="Arial" w:hAnsi="Arial" w:cs="Arial"/>
      <w:snapToGrid w:val="0"/>
      <w:color w:val="000000"/>
      <w:sz w:val="18"/>
    </w:rPr>
  </w:style>
  <w:style w:type="character" w:customStyle="1" w:styleId="TSOfficesChar">
    <w:name w:val="TS Offices Char"/>
    <w:basedOn w:val="DefaultParagraphFont"/>
    <w:link w:val="TSOffices"/>
    <w:rsid w:val="001D066A"/>
    <w:rPr>
      <w:rFonts w:ascii="Arial" w:hAnsi="Arial" w:cs="Arial"/>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RED%20Corporate\1.Stock%20Collateral\Term%20Sheets\Term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C882-7158-438E-B07E-70125588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TermSheet Template.dotx</Template>
  <TotalTime>2</TotalTime>
  <Pages>2</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FHA Insurance Programs Section 242</vt:lpstr>
    </vt:vector>
  </TitlesOfParts>
  <Company>RED CAPITAL GROUP</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FHA Insurance Programs Section 242</dc:title>
  <dc:subject>Mortgage Insurance for Hospitals and Critical Access Hospitals</dc:subject>
  <dc:creator>Acheson, Jenelle L.</dc:creator>
  <cp:keywords>red, mortgage, capital, group, fha, hud, insurance, program, section, 242, hospital, cah, critical, access</cp:keywords>
  <cp:lastModifiedBy>Mackov, Linda L.</cp:lastModifiedBy>
  <cp:revision>2</cp:revision>
  <cp:lastPrinted>2011-12-19T20:24:00Z</cp:lastPrinted>
  <dcterms:created xsi:type="dcterms:W3CDTF">2011-12-20T22:33:00Z</dcterms:created>
  <dcterms:modified xsi:type="dcterms:W3CDTF">2011-12-20T22:33:00Z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1513087516</vt:i4>
  </property>
  <property fmtid="{D5CDD505-2E9C-101B-9397-08002B2CF9AE}" pid="3" name="_NewReviewCycle">
    <vt:lpwstr/>
  </property>
  <property fmtid="{D5CDD505-2E9C-101B-9397-08002B2CF9AE}" pid="4" name="_EmailSubject">
    <vt:lpwstr>20090422_FHA-TS-011_242Hospitals EJM.doc</vt:lpwstr>
  </property>
  <property fmtid="{D5CDD505-2E9C-101B-9397-08002B2CF9AE}" pid="5" name="_AuthorEmail">
    <vt:lpwstr>ejmestemaker@redcapitalgroup.com</vt:lpwstr>
  </property>
  <property fmtid="{D5CDD505-2E9C-101B-9397-08002B2CF9AE}" pid="6" name="_AuthorEmailDisplayName">
    <vt:lpwstr>Mestemaker, Eric J.</vt:lpwstr>
  </property>
  <property fmtid="{D5CDD505-2E9C-101B-9397-08002B2CF9AE}" pid="7" name="_PreviousAdHocReviewCycleID">
    <vt:i4>1974357367</vt:i4>
  </property>
  <property fmtid="{D5CDD505-2E9C-101B-9397-08002B2CF9AE}" pid="8" name="_ReviewingToolsShownOnce">
    <vt:lpwstr/>
  </property>
</Properties>
</file>