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A9" w:rsidRPr="00C22C99" w:rsidRDefault="00736CA9" w:rsidP="00736CA9">
      <w:pPr>
        <w:jc w:val="center"/>
      </w:pPr>
      <w:r w:rsidRPr="00C22C99">
        <w:rPr>
          <w:noProof/>
        </w:rPr>
        <w:drawing>
          <wp:inline distT="0" distB="0" distL="0" distR="0">
            <wp:extent cx="4078388" cy="1192192"/>
            <wp:effectExtent l="19050" t="0" r="0" b="0"/>
            <wp:docPr id="1" name="Picture 0" descr="Sample Prep 2012 Email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Prep 2012 Email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19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CA9" w:rsidRPr="00C22C99" w:rsidRDefault="00736CA9"/>
    <w:tbl>
      <w:tblPr>
        <w:tblW w:w="4606" w:type="pct"/>
        <w:jc w:val="center"/>
        <w:tblCellSpacing w:w="0" w:type="dxa"/>
        <w:tblInd w:w="-198" w:type="dxa"/>
        <w:tblCellMar>
          <w:left w:w="0" w:type="dxa"/>
          <w:right w:w="0" w:type="dxa"/>
        </w:tblCellMar>
        <w:tblLook w:val="04A0"/>
      </w:tblPr>
      <w:tblGrid>
        <w:gridCol w:w="8622"/>
      </w:tblGrid>
      <w:tr w:rsidR="003E36CF" w:rsidRPr="00C22C99" w:rsidTr="0008432A">
        <w:trPr>
          <w:trHeight w:val="18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E36CF" w:rsidRPr="00C22C99" w:rsidRDefault="00C22C99">
            <w:pPr>
              <w:spacing w:line="270" w:lineRule="atLeast"/>
              <w:rPr>
                <w:color w:val="000000"/>
                <w:sz w:val="18"/>
                <w:szCs w:val="18"/>
              </w:rPr>
            </w:pPr>
            <w:r w:rsidRPr="00C22C99">
              <w:rPr>
                <w:rStyle w:val="Strong"/>
                <w:sz w:val="18"/>
                <w:szCs w:val="18"/>
              </w:rPr>
              <w:t>March 22, 2012</w:t>
            </w:r>
          </w:p>
        </w:tc>
      </w:tr>
      <w:tr w:rsidR="003E36CF" w:rsidRPr="00C22C99" w:rsidTr="0008432A">
        <w:trPr>
          <w:trHeight w:val="18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E36CF" w:rsidRPr="00C22C99" w:rsidRDefault="003E36CF">
            <w:pPr>
              <w:pStyle w:val="Heading3"/>
              <w:spacing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C22C99">
              <w:rPr>
                <w:rFonts w:ascii="Calibri" w:eastAsia="Times New Roman" w:hAnsi="Calibri" w:cs="Calibri"/>
                <w:color w:val="000000"/>
              </w:rPr>
              <w:t xml:space="preserve">Key Organizations from Around the World to Address Challenges and Technology Breakthroughs in Sample Preparation for Pathogen Detection at </w:t>
            </w:r>
            <w:hyperlink r:id="rId6" w:history="1">
              <w:r w:rsidRPr="00C22C99">
                <w:rPr>
                  <w:rStyle w:val="Hyperlink"/>
                  <w:rFonts w:ascii="Calibri" w:eastAsia="Times New Roman" w:hAnsi="Calibri" w:cs="Calibri"/>
                </w:rPr>
                <w:t>5th Sample Prep</w:t>
              </w:r>
            </w:hyperlink>
            <w:r w:rsidRPr="00C22C99">
              <w:rPr>
                <w:rFonts w:ascii="Calibri" w:eastAsia="Times New Roman" w:hAnsi="Calibri" w:cs="Calibri"/>
                <w:color w:val="000000"/>
              </w:rPr>
              <w:t xml:space="preserve"> Conference in San Diego from May 3-4</w:t>
            </w:r>
          </w:p>
        </w:tc>
      </w:tr>
      <w:tr w:rsidR="003E36CF" w:rsidRPr="00C22C99" w:rsidTr="0008432A">
        <w:trPr>
          <w:trHeight w:val="180"/>
          <w:tblCellSpacing w:w="0" w:type="dxa"/>
          <w:jc w:val="center"/>
        </w:trPr>
        <w:tc>
          <w:tcPr>
            <w:tcW w:w="5000" w:type="pct"/>
            <w:vAlign w:val="center"/>
          </w:tcPr>
          <w:p w:rsidR="003E36CF" w:rsidRPr="00C22C99" w:rsidRDefault="003E36CF">
            <w:pPr>
              <w:rPr>
                <w:color w:val="1F497D"/>
              </w:rPr>
            </w:pPr>
            <w:r w:rsidRPr="00C22C99">
              <w:rPr>
                <w:rStyle w:val="Strong"/>
              </w:rPr>
              <w:t>World Leaders to Address Challenges and Technology Breakthroughs in Sample Preparation for Pathogen Detection at 5th Sample Prep Conference in San Diego from May 3-4.</w:t>
            </w:r>
            <w:r w:rsidR="00736CA9" w:rsidRPr="00C22C99">
              <w:br/>
            </w:r>
            <w:r w:rsidR="00736CA9" w:rsidRPr="00C22C99">
              <w:br/>
              <w:t>BOSTON, MA – March 22</w:t>
            </w:r>
            <w:r w:rsidRPr="00C22C99">
              <w:t xml:space="preserve">, 2012 – Leading organizations from around the world will convene in San Diego for the Knowledge Foundation’s 5th Sample Prep conference which will take place at the Hilton Resort &amp; Spa from </w:t>
            </w:r>
            <w:r w:rsidRPr="00C22C99">
              <w:rPr>
                <w:rStyle w:val="Strong"/>
              </w:rPr>
              <w:t>May 3-4, 2012</w:t>
            </w:r>
            <w:r w:rsidRPr="00C22C99">
              <w:t>.</w:t>
            </w:r>
          </w:p>
          <w:p w:rsidR="003E36CF" w:rsidRPr="00C22C99" w:rsidRDefault="003E36CF">
            <w:pPr>
              <w:rPr>
                <w:color w:val="1F497D"/>
              </w:rPr>
            </w:pPr>
          </w:p>
          <w:p w:rsidR="003E36CF" w:rsidRPr="00C22C99" w:rsidRDefault="003E36CF">
            <w:r w:rsidRPr="00C22C99">
              <w:rPr>
                <w:b/>
              </w:rPr>
              <w:t>Sample Prep</w:t>
            </w:r>
            <w:r w:rsidRPr="00C22C99">
              <w:t xml:space="preserve"> is an internationally recognized event for experts in sample preparation for detection and identification of viruses, toxins and pathogens. This conference will address the </w:t>
            </w:r>
            <w:r w:rsidR="0008432A">
              <w:t xml:space="preserve">  </w:t>
            </w:r>
            <w:r w:rsidRPr="00C22C99">
              <w:t>major issues and state-of-the-art in the technologies for real-world sample preparation. Specific topics to be explored when world leaders convene for this high-level symposium include:</w:t>
            </w:r>
            <w:r w:rsidRPr="00C22C99">
              <w:br/>
            </w:r>
            <w:r w:rsidRPr="00C22C99">
              <w:br/>
              <w:t xml:space="preserve">• Sample prep with </w:t>
            </w:r>
            <w:proofErr w:type="spellStart"/>
            <w:r w:rsidRPr="00C22C99">
              <w:t>microfluidics</w:t>
            </w:r>
            <w:proofErr w:type="spellEnd"/>
            <w:r w:rsidRPr="00C22C99">
              <w:t xml:space="preserve"> </w:t>
            </w:r>
            <w:r w:rsidRPr="00C22C99">
              <w:br/>
              <w:t xml:space="preserve">• Sample prep-on-a-chip </w:t>
            </w:r>
            <w:r w:rsidRPr="00C22C99">
              <w:br/>
              <w:t xml:space="preserve">• Alternative sample prep technologies for viruses, toxins &amp; pathogens </w:t>
            </w:r>
            <w:r w:rsidRPr="00C22C99">
              <w:br/>
              <w:t xml:space="preserve">• Sample prep as separate vs. integrated module approach </w:t>
            </w:r>
            <w:r w:rsidRPr="00C22C99">
              <w:br/>
              <w:t xml:space="preserve">• Nanotechnology challenges for sample preparation </w:t>
            </w:r>
            <w:r w:rsidRPr="00C22C99">
              <w:br/>
              <w:t xml:space="preserve">• Robust sampling methodologies (automation, high-throughput, combinatorial approach in </w:t>
            </w:r>
            <w:r w:rsidR="0008432A">
              <w:t xml:space="preserve">                                                                                                                                s</w:t>
            </w:r>
            <w:r w:rsidRPr="00C22C99">
              <w:t xml:space="preserve">ample prep) </w:t>
            </w:r>
            <w:r w:rsidRPr="00C22C99">
              <w:br/>
              <w:t xml:space="preserve">• Food, water, air, and environmental sampling </w:t>
            </w:r>
            <w:r w:rsidRPr="00C22C99">
              <w:br/>
              <w:t xml:space="preserve">• Novel methods of extraction from tough (non-filterable) matrices </w:t>
            </w:r>
            <w:r w:rsidRPr="00C22C99">
              <w:br/>
              <w:t xml:space="preserve">• Single use sample concentration modules </w:t>
            </w:r>
            <w:r w:rsidRPr="00C22C99">
              <w:br/>
              <w:t xml:space="preserve">• Advanced lateral flow assays for sample prep </w:t>
            </w:r>
            <w:r w:rsidRPr="00C22C99">
              <w:br/>
              <w:t xml:space="preserve">• Nucleic acid or protein based sample prep for next generation sequencing </w:t>
            </w:r>
          </w:p>
          <w:p w:rsidR="003E36CF" w:rsidRPr="00C22C99" w:rsidRDefault="003E36CF">
            <w:r w:rsidRPr="00C22C99">
              <w:t xml:space="preserve">• Sample prep technologies for detection/diagnostics vs. </w:t>
            </w:r>
            <w:proofErr w:type="spellStart"/>
            <w:r w:rsidRPr="00C22C99">
              <w:t>pharma</w:t>
            </w:r>
            <w:proofErr w:type="spellEnd"/>
          </w:p>
          <w:p w:rsidR="003E36CF" w:rsidRPr="00C22C99" w:rsidRDefault="003E36CF">
            <w:pPr>
              <w:spacing w:after="240" w:line="276" w:lineRule="auto"/>
              <w:rPr>
                <w:rStyle w:val="Strong"/>
                <w:b w:val="0"/>
                <w:bCs w:val="0"/>
                <w:color w:val="1F497D"/>
              </w:rPr>
            </w:pPr>
            <w:r w:rsidRPr="00C22C99">
              <w:br/>
            </w:r>
            <w:r w:rsidRPr="00C22C99">
              <w:br/>
            </w:r>
            <w:r w:rsidRPr="00C22C99">
              <w:rPr>
                <w:rStyle w:val="Strong"/>
              </w:rPr>
              <w:t>Distinguished Speaker Faculty</w:t>
            </w:r>
            <w:r w:rsidRPr="00C22C99">
              <w:br/>
            </w:r>
            <w:r w:rsidRPr="00C22C99">
              <w:br/>
            </w:r>
            <w:r w:rsidRPr="00C22C99">
              <w:rPr>
                <w:sz w:val="20"/>
                <w:szCs w:val="20"/>
              </w:rPr>
              <w:t xml:space="preserve">-  Raymond P. </w:t>
            </w:r>
            <w:proofErr w:type="spellStart"/>
            <w:r w:rsidRPr="00C22C99">
              <w:rPr>
                <w:sz w:val="20"/>
                <w:szCs w:val="20"/>
              </w:rPr>
              <w:t>Mariella</w:t>
            </w:r>
            <w:proofErr w:type="spellEnd"/>
            <w:r w:rsidRPr="00C22C99">
              <w:rPr>
                <w:sz w:val="20"/>
                <w:szCs w:val="20"/>
              </w:rPr>
              <w:t xml:space="preserve">, PhD, Lawrence Livermore National Laboratory </w:t>
            </w:r>
            <w:r w:rsidRPr="00C22C99">
              <w:rPr>
                <w:sz w:val="20"/>
                <w:szCs w:val="20"/>
              </w:rPr>
              <w:br/>
              <w:t xml:space="preserve">- Mark W. Eshoo, PhD, ibis Biosciences, Inc., a subsidiary of Abbott Molecular  </w:t>
            </w:r>
            <w:r w:rsidRPr="00C22C99">
              <w:rPr>
                <w:sz w:val="20"/>
                <w:szCs w:val="20"/>
              </w:rPr>
              <w:br/>
              <w:t xml:space="preserve">- Steven S. Branda, PhD, Sandia National Laboratories </w:t>
            </w:r>
            <w:r w:rsidRPr="00C22C99">
              <w:rPr>
                <w:sz w:val="20"/>
                <w:szCs w:val="20"/>
              </w:rPr>
              <w:br/>
              <w:t xml:space="preserve">- Michael Pollack, PhD, CTO, Advanced Liquid Logic, Inc. </w:t>
            </w:r>
            <w:r w:rsidRPr="00C22C99">
              <w:rPr>
                <w:sz w:val="20"/>
                <w:szCs w:val="20"/>
              </w:rPr>
              <w:br/>
              <w:t xml:space="preserve">-Alexis Sauer-Budge, PhD, </w:t>
            </w:r>
            <w:proofErr w:type="spellStart"/>
            <w:r w:rsidRPr="00C22C99">
              <w:rPr>
                <w:sz w:val="20"/>
                <w:szCs w:val="20"/>
              </w:rPr>
              <w:t>Fraunhofer</w:t>
            </w:r>
            <w:proofErr w:type="spellEnd"/>
            <w:r w:rsidRPr="00C22C99">
              <w:rPr>
                <w:sz w:val="20"/>
                <w:szCs w:val="20"/>
              </w:rPr>
              <w:t xml:space="preserve"> </w:t>
            </w:r>
            <w:r w:rsidRPr="00C22C99">
              <w:rPr>
                <w:sz w:val="20"/>
                <w:szCs w:val="20"/>
              </w:rPr>
              <w:br/>
            </w:r>
            <w:r w:rsidRPr="00C22C99"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C22C99">
              <w:rPr>
                <w:sz w:val="20"/>
                <w:szCs w:val="20"/>
              </w:rPr>
              <w:t>Stephane</w:t>
            </w:r>
            <w:proofErr w:type="spellEnd"/>
            <w:r w:rsidRPr="00C22C99">
              <w:rPr>
                <w:sz w:val="20"/>
                <w:szCs w:val="20"/>
              </w:rPr>
              <w:t xml:space="preserve"> </w:t>
            </w:r>
            <w:proofErr w:type="spellStart"/>
            <w:r w:rsidRPr="00C22C99">
              <w:rPr>
                <w:sz w:val="20"/>
                <w:szCs w:val="20"/>
              </w:rPr>
              <w:t>Evoy</w:t>
            </w:r>
            <w:proofErr w:type="spellEnd"/>
            <w:r w:rsidRPr="00C22C99">
              <w:rPr>
                <w:sz w:val="20"/>
                <w:szCs w:val="20"/>
              </w:rPr>
              <w:t xml:space="preserve">, </w:t>
            </w:r>
            <w:proofErr w:type="spellStart"/>
            <w:r w:rsidRPr="00C22C99">
              <w:rPr>
                <w:sz w:val="20"/>
                <w:szCs w:val="20"/>
              </w:rPr>
              <w:t>PhD,University</w:t>
            </w:r>
            <w:proofErr w:type="spellEnd"/>
            <w:r w:rsidRPr="00C22C99">
              <w:rPr>
                <w:sz w:val="20"/>
                <w:szCs w:val="20"/>
              </w:rPr>
              <w:t xml:space="preserve"> of Alberta, Canada</w:t>
            </w:r>
            <w:r w:rsidRPr="00C22C99">
              <w:rPr>
                <w:sz w:val="20"/>
                <w:szCs w:val="20"/>
              </w:rPr>
              <w:br/>
              <w:t>-</w:t>
            </w:r>
            <w:proofErr w:type="spellStart"/>
            <w:r w:rsidRPr="00C22C99">
              <w:rPr>
                <w:sz w:val="20"/>
                <w:szCs w:val="20"/>
              </w:rPr>
              <w:t>Rajaram</w:t>
            </w:r>
            <w:proofErr w:type="spellEnd"/>
            <w:r w:rsidRPr="00C22C99">
              <w:rPr>
                <w:sz w:val="20"/>
                <w:szCs w:val="20"/>
              </w:rPr>
              <w:t xml:space="preserve"> Krishnan, PhD, CEO, Biological Dynamics, Inc.* </w:t>
            </w:r>
            <w:r w:rsidRPr="00C22C99">
              <w:rPr>
                <w:sz w:val="20"/>
                <w:szCs w:val="20"/>
              </w:rPr>
              <w:br/>
              <w:t xml:space="preserve">-Joseph Wang, PhD, University California San Diego </w:t>
            </w:r>
            <w:r w:rsidRPr="00C22C99">
              <w:rPr>
                <w:sz w:val="20"/>
                <w:szCs w:val="20"/>
              </w:rPr>
              <w:br/>
              <w:t>- Michael J. Heller, PhD, University of California San Diego</w:t>
            </w:r>
            <w:r w:rsidRPr="00C22C99">
              <w:rPr>
                <w:sz w:val="20"/>
                <w:szCs w:val="20"/>
              </w:rPr>
              <w:br/>
              <w:t xml:space="preserve">- Richard A. </w:t>
            </w:r>
            <w:proofErr w:type="spellStart"/>
            <w:r w:rsidRPr="00C22C99">
              <w:rPr>
                <w:sz w:val="20"/>
                <w:szCs w:val="20"/>
              </w:rPr>
              <w:t>Montagna</w:t>
            </w:r>
            <w:proofErr w:type="spellEnd"/>
            <w:r w:rsidRPr="00C22C99">
              <w:rPr>
                <w:sz w:val="20"/>
                <w:szCs w:val="20"/>
              </w:rPr>
              <w:t xml:space="preserve">, PhD, </w:t>
            </w:r>
            <w:proofErr w:type="spellStart"/>
            <w:r w:rsidRPr="00C22C99">
              <w:rPr>
                <w:sz w:val="20"/>
                <w:szCs w:val="20"/>
              </w:rPr>
              <w:t>Rheonix</w:t>
            </w:r>
            <w:proofErr w:type="spellEnd"/>
            <w:r w:rsidRPr="00C22C99">
              <w:rPr>
                <w:sz w:val="20"/>
                <w:szCs w:val="20"/>
              </w:rPr>
              <w:t xml:space="preserve">, Inc. </w:t>
            </w:r>
            <w:r w:rsidRPr="00C22C99">
              <w:rPr>
                <w:sz w:val="20"/>
                <w:szCs w:val="20"/>
              </w:rPr>
              <w:br/>
              <w:t xml:space="preserve">-Dennis W. Harris, </w:t>
            </w:r>
            <w:proofErr w:type="spellStart"/>
            <w:r w:rsidRPr="00C22C99">
              <w:rPr>
                <w:sz w:val="20"/>
                <w:szCs w:val="20"/>
              </w:rPr>
              <w:t>DPhil</w:t>
            </w:r>
            <w:proofErr w:type="spellEnd"/>
            <w:r w:rsidRPr="00C22C99">
              <w:rPr>
                <w:sz w:val="20"/>
                <w:szCs w:val="20"/>
              </w:rPr>
              <w:t xml:space="preserve">., </w:t>
            </w:r>
            <w:proofErr w:type="spellStart"/>
            <w:r w:rsidRPr="00C22C99">
              <w:rPr>
                <w:sz w:val="20"/>
                <w:szCs w:val="20"/>
              </w:rPr>
              <w:t>IntegenX</w:t>
            </w:r>
            <w:proofErr w:type="spellEnd"/>
            <w:r w:rsidRPr="00C22C99">
              <w:rPr>
                <w:sz w:val="20"/>
                <w:szCs w:val="20"/>
              </w:rPr>
              <w:t xml:space="preserve">, Inc. </w:t>
            </w:r>
            <w:r w:rsidRPr="00C22C99">
              <w:rPr>
                <w:sz w:val="20"/>
                <w:szCs w:val="20"/>
              </w:rPr>
              <w:br/>
              <w:t xml:space="preserve">- Bruce Irvine, Claremont </w:t>
            </w:r>
            <w:proofErr w:type="spellStart"/>
            <w:r w:rsidRPr="00C22C99">
              <w:rPr>
                <w:sz w:val="20"/>
                <w:szCs w:val="20"/>
              </w:rPr>
              <w:t>BioSolutions</w:t>
            </w:r>
            <w:proofErr w:type="spellEnd"/>
            <w:r w:rsidRPr="00C22C99">
              <w:rPr>
                <w:sz w:val="20"/>
                <w:szCs w:val="20"/>
              </w:rPr>
              <w:t xml:space="preserve"> LLC </w:t>
            </w:r>
            <w:r w:rsidRPr="00C22C99">
              <w:rPr>
                <w:sz w:val="20"/>
                <w:szCs w:val="20"/>
              </w:rPr>
              <w:br/>
              <w:t xml:space="preserve">- James M. Birch, PhD, Monterey Bay Aquarium Research Institute </w:t>
            </w:r>
            <w:r w:rsidRPr="00C22C99">
              <w:rPr>
                <w:sz w:val="20"/>
                <w:szCs w:val="20"/>
              </w:rPr>
              <w:br/>
              <w:t xml:space="preserve">- Andre </w:t>
            </w:r>
            <w:proofErr w:type="spellStart"/>
            <w:r w:rsidRPr="00C22C99">
              <w:rPr>
                <w:sz w:val="20"/>
                <w:szCs w:val="20"/>
              </w:rPr>
              <w:t>Marziali</w:t>
            </w:r>
            <w:proofErr w:type="spellEnd"/>
            <w:r w:rsidRPr="00C22C99">
              <w:rPr>
                <w:sz w:val="20"/>
                <w:szCs w:val="20"/>
              </w:rPr>
              <w:t>, PhD, Boreal Genomics Inc. &amp; University of British Columbia</w:t>
            </w:r>
            <w:r w:rsidRPr="00C22C99">
              <w:rPr>
                <w:sz w:val="20"/>
                <w:szCs w:val="20"/>
              </w:rPr>
              <w:br/>
              <w:t xml:space="preserve">-Eric R. Rhodes, PhD, U.S. Environmental Protection Agency </w:t>
            </w:r>
            <w:r w:rsidRPr="00C22C99">
              <w:rPr>
                <w:sz w:val="20"/>
                <w:szCs w:val="20"/>
              </w:rPr>
              <w:br/>
              <w:t xml:space="preserve">- John P. </w:t>
            </w:r>
            <w:proofErr w:type="spellStart"/>
            <w:r w:rsidRPr="00C22C99">
              <w:rPr>
                <w:sz w:val="20"/>
                <w:szCs w:val="20"/>
              </w:rPr>
              <w:t>Langmore</w:t>
            </w:r>
            <w:proofErr w:type="spellEnd"/>
            <w:r w:rsidRPr="00C22C99">
              <w:rPr>
                <w:sz w:val="20"/>
                <w:szCs w:val="20"/>
              </w:rPr>
              <w:t xml:space="preserve">, PhD, Rubicon Genomics, Inc. </w:t>
            </w:r>
            <w:r w:rsidRPr="00C22C99">
              <w:rPr>
                <w:sz w:val="20"/>
                <w:szCs w:val="20"/>
              </w:rPr>
              <w:br/>
              <w:t>- Stephanie Thatcher, Idaho Technology, Inc.</w:t>
            </w:r>
            <w:r w:rsidRPr="00C22C99">
              <w:rPr>
                <w:color w:val="1F497D"/>
                <w:sz w:val="20"/>
                <w:szCs w:val="20"/>
              </w:rPr>
              <w:br/>
            </w:r>
            <w:r w:rsidRPr="00C22C99">
              <w:rPr>
                <w:sz w:val="20"/>
                <w:szCs w:val="20"/>
              </w:rPr>
              <w:t xml:space="preserve">- David S. </w:t>
            </w:r>
            <w:proofErr w:type="spellStart"/>
            <w:r w:rsidRPr="00C22C99">
              <w:rPr>
                <w:sz w:val="20"/>
                <w:szCs w:val="20"/>
              </w:rPr>
              <w:t>Alburty</w:t>
            </w:r>
            <w:proofErr w:type="spellEnd"/>
            <w:r w:rsidRPr="00C22C99">
              <w:rPr>
                <w:sz w:val="20"/>
                <w:szCs w:val="20"/>
              </w:rPr>
              <w:t>, InnovaPrep LLC</w:t>
            </w:r>
            <w:r w:rsidRPr="00C22C99">
              <w:rPr>
                <w:sz w:val="20"/>
                <w:szCs w:val="20"/>
              </w:rPr>
              <w:br/>
              <w:t xml:space="preserve">- James P. Landers, PhD, </w:t>
            </w:r>
            <w:proofErr w:type="spellStart"/>
            <w:r w:rsidRPr="00C22C99">
              <w:rPr>
                <w:sz w:val="20"/>
                <w:szCs w:val="20"/>
              </w:rPr>
              <w:t>ZyGEM</w:t>
            </w:r>
            <w:proofErr w:type="spellEnd"/>
            <w:r w:rsidRPr="00C22C99">
              <w:rPr>
                <w:sz w:val="20"/>
                <w:szCs w:val="20"/>
              </w:rPr>
              <w:t xml:space="preserve"> Corporation University of Virginia*</w:t>
            </w:r>
            <w:r w:rsidRPr="00C22C99">
              <w:rPr>
                <w:sz w:val="20"/>
                <w:szCs w:val="20"/>
              </w:rPr>
              <w:br/>
              <w:t xml:space="preserve">- Rolf </w:t>
            </w:r>
            <w:proofErr w:type="spellStart"/>
            <w:r w:rsidRPr="00C22C99">
              <w:rPr>
                <w:sz w:val="20"/>
                <w:szCs w:val="20"/>
              </w:rPr>
              <w:t>Müller</w:t>
            </w:r>
            <w:proofErr w:type="spellEnd"/>
            <w:r w:rsidRPr="00C22C99">
              <w:rPr>
                <w:sz w:val="20"/>
                <w:szCs w:val="20"/>
              </w:rPr>
              <w:t xml:space="preserve">, PhD, </w:t>
            </w:r>
            <w:proofErr w:type="spellStart"/>
            <w:r w:rsidRPr="00C22C99">
              <w:rPr>
                <w:sz w:val="20"/>
                <w:szCs w:val="20"/>
              </w:rPr>
              <w:t>Biomatrica</w:t>
            </w:r>
            <w:proofErr w:type="spellEnd"/>
            <w:r w:rsidRPr="00C22C99">
              <w:rPr>
                <w:sz w:val="20"/>
                <w:szCs w:val="20"/>
              </w:rPr>
              <w:t xml:space="preserve">, Inc. </w:t>
            </w:r>
            <w:r w:rsidRPr="00C22C99">
              <w:rPr>
                <w:sz w:val="20"/>
                <w:szCs w:val="20"/>
              </w:rPr>
              <w:br/>
              <w:t xml:space="preserve">-Steve Barrett, President and CEO, </w:t>
            </w:r>
            <w:proofErr w:type="spellStart"/>
            <w:r w:rsidRPr="00C22C99">
              <w:rPr>
                <w:sz w:val="20"/>
                <w:szCs w:val="20"/>
              </w:rPr>
              <w:t>DetectGen</w:t>
            </w:r>
            <w:proofErr w:type="spellEnd"/>
            <w:r w:rsidRPr="00C22C99">
              <w:rPr>
                <w:sz w:val="20"/>
                <w:szCs w:val="20"/>
              </w:rPr>
              <w:t>, Inc., Canada</w:t>
            </w:r>
          </w:p>
          <w:p w:rsidR="003E36CF" w:rsidRPr="00C22C99" w:rsidRDefault="003E36CF">
            <w:pPr>
              <w:spacing w:line="276" w:lineRule="auto"/>
              <w:rPr>
                <w:rStyle w:val="Strong"/>
              </w:rPr>
            </w:pPr>
          </w:p>
          <w:p w:rsidR="003E36CF" w:rsidRPr="00C22C99" w:rsidRDefault="003E36CF">
            <w:pPr>
              <w:spacing w:line="276" w:lineRule="auto"/>
            </w:pPr>
            <w:r w:rsidRPr="00C22C99">
              <w:rPr>
                <w:rStyle w:val="Strong"/>
              </w:rPr>
              <w:t>About The Knowledge Foundation</w:t>
            </w:r>
            <w:r w:rsidRPr="00C22C99">
              <w:br/>
              <w:t xml:space="preserve">The Knowledge Foundation integrates scientific ingenuity and real-world applications by fostering collaborative research at the rapidly changing intersection of science and business. Known for providing members of its Technology Commercialization Alliance with direct and unbiased state-of-the-art scientific information, the Knowledge Foundation is uniquely qualified to provide wider exposure for important developments in the emerging fields of alternative energy, nanotechnology, and chemical &amp; biological detection technologies. </w:t>
            </w:r>
          </w:p>
        </w:tc>
      </w:tr>
      <w:tr w:rsidR="003E36CF" w:rsidRPr="00C22C99" w:rsidTr="0008432A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3E36CF" w:rsidRPr="00C22C99" w:rsidRDefault="003E36CF">
            <w:pPr>
              <w:spacing w:line="276" w:lineRule="auto"/>
              <w:rPr>
                <w:rStyle w:val="Strong"/>
              </w:rPr>
            </w:pPr>
          </w:p>
          <w:p w:rsidR="003E36CF" w:rsidRPr="00C22C99" w:rsidRDefault="003E36CF">
            <w:pPr>
              <w:spacing w:line="276" w:lineRule="auto"/>
              <w:rPr>
                <w:sz w:val="18"/>
                <w:szCs w:val="18"/>
              </w:rPr>
            </w:pPr>
            <w:r w:rsidRPr="00C22C99">
              <w:rPr>
                <w:rStyle w:val="Strong"/>
              </w:rPr>
              <w:t>Contact:</w:t>
            </w:r>
            <w:r w:rsidRPr="00C22C99">
              <w:br/>
            </w:r>
            <w:r w:rsidRPr="00C22C99">
              <w:rPr>
                <w:rStyle w:val="shoppingcart11"/>
                <w:rFonts w:ascii="Calibri" w:hAnsi="Calibri" w:cs="Calibri"/>
                <w:sz w:val="18"/>
                <w:szCs w:val="18"/>
              </w:rPr>
              <w:t>The Knowledge Foundation</w:t>
            </w:r>
            <w:r w:rsidRPr="00C22C99">
              <w:rPr>
                <w:color w:val="000000"/>
                <w:sz w:val="18"/>
                <w:szCs w:val="18"/>
              </w:rPr>
              <w:br/>
            </w:r>
            <w:r w:rsidRPr="00C22C99">
              <w:rPr>
                <w:sz w:val="18"/>
                <w:szCs w:val="18"/>
              </w:rPr>
              <w:t>2193 Commonwealth Ave, Suite 398</w:t>
            </w:r>
          </w:p>
          <w:p w:rsidR="003E36CF" w:rsidRPr="00C22C99" w:rsidRDefault="003E36CF">
            <w:pPr>
              <w:spacing w:line="276" w:lineRule="auto"/>
              <w:rPr>
                <w:sz w:val="18"/>
                <w:szCs w:val="18"/>
              </w:rPr>
            </w:pPr>
            <w:r w:rsidRPr="00C22C99">
              <w:rPr>
                <w:sz w:val="18"/>
                <w:szCs w:val="18"/>
              </w:rPr>
              <w:t>Boston, MA  02135-3853</w:t>
            </w:r>
          </w:p>
          <w:p w:rsidR="003E36CF" w:rsidRPr="00C22C99" w:rsidRDefault="003E36CF">
            <w:pPr>
              <w:spacing w:line="276" w:lineRule="auto"/>
              <w:rPr>
                <w:rStyle w:val="shoppingcart11"/>
                <w:rFonts w:ascii="Calibri" w:hAnsi="Calibri" w:cs="Calibri"/>
              </w:rPr>
            </w:pPr>
            <w:r w:rsidRPr="00C22C99">
              <w:rPr>
                <w:rStyle w:val="shoppingcart11"/>
                <w:rFonts w:ascii="Calibri" w:hAnsi="Calibri" w:cs="Calibri"/>
                <w:sz w:val="18"/>
                <w:szCs w:val="18"/>
              </w:rPr>
              <w:t>Phone: (617) 232-7400</w:t>
            </w:r>
            <w:r w:rsidRPr="00C22C99">
              <w:rPr>
                <w:color w:val="000000"/>
                <w:sz w:val="18"/>
                <w:szCs w:val="18"/>
              </w:rPr>
              <w:br/>
            </w:r>
            <w:r w:rsidRPr="00C22C99">
              <w:rPr>
                <w:rStyle w:val="shoppingcart11"/>
                <w:rFonts w:ascii="Calibri" w:hAnsi="Calibri" w:cs="Calibri"/>
                <w:sz w:val="18"/>
                <w:szCs w:val="18"/>
              </w:rPr>
              <w:t>Fax: (617) 232-9171</w:t>
            </w:r>
            <w:r w:rsidRPr="00C22C99">
              <w:rPr>
                <w:color w:val="000000"/>
                <w:sz w:val="18"/>
                <w:szCs w:val="18"/>
              </w:rPr>
              <w:br/>
            </w:r>
            <w:r w:rsidRPr="00C22C99">
              <w:rPr>
                <w:rStyle w:val="shoppingcart11"/>
                <w:rFonts w:ascii="Calibri" w:hAnsi="Calibri" w:cs="Calibri"/>
                <w:sz w:val="18"/>
                <w:szCs w:val="18"/>
              </w:rPr>
              <w:t xml:space="preserve">Email: </w:t>
            </w:r>
            <w:hyperlink r:id="rId7" w:history="1">
              <w:r w:rsidRPr="00C22C99">
                <w:rPr>
                  <w:rStyle w:val="Hyperlink"/>
                  <w:sz w:val="18"/>
                  <w:szCs w:val="18"/>
                </w:rPr>
                <w:t>custserv@knowledgefoundation.com</w:t>
              </w:r>
            </w:hyperlink>
            <w:r w:rsidRPr="00C22C99">
              <w:rPr>
                <w:color w:val="000000"/>
                <w:sz w:val="18"/>
                <w:szCs w:val="18"/>
              </w:rPr>
              <w:br/>
            </w:r>
            <w:r w:rsidRPr="00C22C99">
              <w:rPr>
                <w:rStyle w:val="shoppingcart11"/>
                <w:rFonts w:ascii="Calibri" w:hAnsi="Calibri" w:cs="Calibri"/>
                <w:sz w:val="18"/>
                <w:szCs w:val="18"/>
              </w:rPr>
              <w:t xml:space="preserve">Website: </w:t>
            </w:r>
            <w:hyperlink r:id="rId8" w:history="1">
              <w:r w:rsidRPr="00C22C99">
                <w:rPr>
                  <w:rStyle w:val="Hyperlink"/>
                  <w:sz w:val="18"/>
                  <w:szCs w:val="18"/>
                </w:rPr>
                <w:t>www.knowledgefoundation.com</w:t>
              </w:r>
            </w:hyperlink>
            <w:r w:rsidRPr="00C22C99">
              <w:br/>
            </w:r>
            <w:r w:rsidRPr="00C22C99">
              <w:br/>
            </w:r>
            <w:r w:rsidRPr="00C22C99">
              <w:rPr>
                <w:rStyle w:val="Strong"/>
                <w:sz w:val="18"/>
                <w:szCs w:val="18"/>
              </w:rPr>
              <w:t>Media Contact:</w:t>
            </w:r>
            <w:r w:rsidRPr="00C22C99">
              <w:rPr>
                <w:color w:val="000000"/>
                <w:sz w:val="18"/>
                <w:szCs w:val="18"/>
              </w:rPr>
              <w:br/>
            </w:r>
            <w:r w:rsidRPr="00C22C99">
              <w:rPr>
                <w:rStyle w:val="shoppingcart11"/>
                <w:rFonts w:ascii="Calibri" w:hAnsi="Calibri" w:cs="Calibri"/>
                <w:sz w:val="18"/>
                <w:szCs w:val="18"/>
              </w:rPr>
              <w:t>Matt DiCecca</w:t>
            </w:r>
            <w:r w:rsidRPr="00C22C99">
              <w:rPr>
                <w:color w:val="000000"/>
                <w:sz w:val="18"/>
                <w:szCs w:val="18"/>
              </w:rPr>
              <w:br/>
            </w:r>
            <w:r w:rsidRPr="00C22C99">
              <w:rPr>
                <w:rStyle w:val="shoppingcart11"/>
                <w:rFonts w:ascii="Calibri" w:hAnsi="Calibri" w:cs="Calibri"/>
                <w:sz w:val="18"/>
                <w:szCs w:val="18"/>
              </w:rPr>
              <w:t>Conference Marketer</w:t>
            </w:r>
            <w:r w:rsidRPr="00C22C99">
              <w:rPr>
                <w:color w:val="000000"/>
                <w:sz w:val="18"/>
                <w:szCs w:val="18"/>
              </w:rPr>
              <w:br/>
            </w:r>
            <w:r w:rsidRPr="00C22C99">
              <w:rPr>
                <w:rStyle w:val="shoppingcart11"/>
                <w:rFonts w:ascii="Calibri" w:hAnsi="Calibri" w:cs="Calibri"/>
                <w:sz w:val="18"/>
                <w:szCs w:val="18"/>
              </w:rPr>
              <w:t>(617) 232-7400 ext. 203</w:t>
            </w:r>
            <w:r w:rsidRPr="00C22C99">
              <w:rPr>
                <w:color w:val="000000"/>
                <w:sz w:val="18"/>
                <w:szCs w:val="18"/>
              </w:rPr>
              <w:br/>
            </w:r>
            <w:r w:rsidRPr="00C22C99">
              <w:rPr>
                <w:rStyle w:val="shoppingcart11"/>
                <w:rFonts w:ascii="Calibri" w:hAnsi="Calibri" w:cs="Calibri"/>
                <w:sz w:val="18"/>
                <w:szCs w:val="18"/>
              </w:rPr>
              <w:t xml:space="preserve">Email: </w:t>
            </w:r>
            <w:hyperlink r:id="rId9" w:history="1">
              <w:r w:rsidRPr="00C22C99">
                <w:rPr>
                  <w:rStyle w:val="Hyperlink"/>
                  <w:sz w:val="18"/>
                  <w:szCs w:val="18"/>
                </w:rPr>
                <w:t>mdicecca@knowledgefoundation.com</w:t>
              </w:r>
            </w:hyperlink>
          </w:p>
          <w:p w:rsidR="003E36CF" w:rsidRPr="00C22C99" w:rsidRDefault="003E36CF">
            <w:pPr>
              <w:spacing w:line="276" w:lineRule="auto"/>
              <w:rPr>
                <w:rStyle w:val="shoppingcart11"/>
                <w:rFonts w:ascii="Calibri" w:hAnsi="Calibri" w:cs="Calibri"/>
                <w:sz w:val="18"/>
                <w:szCs w:val="18"/>
              </w:rPr>
            </w:pPr>
          </w:p>
        </w:tc>
      </w:tr>
    </w:tbl>
    <w:p w:rsidR="005373F0" w:rsidRPr="00C22C99" w:rsidRDefault="005373F0"/>
    <w:sectPr w:rsidR="005373F0" w:rsidRPr="00C22C99" w:rsidSect="00537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36CF"/>
    <w:rsid w:val="0008432A"/>
    <w:rsid w:val="001F4302"/>
    <w:rsid w:val="001F6E87"/>
    <w:rsid w:val="003E36CF"/>
    <w:rsid w:val="005373F0"/>
    <w:rsid w:val="00540197"/>
    <w:rsid w:val="00736CA9"/>
    <w:rsid w:val="008F6268"/>
    <w:rsid w:val="00A67996"/>
    <w:rsid w:val="00C2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CF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unhideWhenUsed/>
    <w:qFormat/>
    <w:rsid w:val="003E36C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36CF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E36CF"/>
    <w:rPr>
      <w:color w:val="0000FF"/>
      <w:u w:val="single"/>
    </w:rPr>
  </w:style>
  <w:style w:type="character" w:customStyle="1" w:styleId="shoppingcart11">
    <w:name w:val="shoppingcart11"/>
    <w:basedOn w:val="DefaultParagraphFont"/>
    <w:rsid w:val="003E36CF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E36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owledgefound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stserv@knowledgefoundat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owledgefoundation.com/viewevents.php?event_id=278&amp;act=ev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icecca@knowledgefound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C1333-6EB0-40D5-A83E-6564E176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DiCecca</dc:creator>
  <cp:lastModifiedBy>Matt DiCecca</cp:lastModifiedBy>
  <cp:revision>5</cp:revision>
  <dcterms:created xsi:type="dcterms:W3CDTF">2012-02-14T14:18:00Z</dcterms:created>
  <dcterms:modified xsi:type="dcterms:W3CDTF">2012-03-22T18:38:00Z</dcterms:modified>
</cp:coreProperties>
</file>