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4B5" w:rsidRPr="003750B8" w:rsidRDefault="00487AA9" w:rsidP="0045309E">
      <w:pPr>
        <w:ind w:right="-270"/>
        <w:rPr>
          <w:sz w:val="20"/>
          <w:szCs w:val="20"/>
        </w:rPr>
      </w:pPr>
      <w:bookmarkStart w:id="0" w:name="_GoBack"/>
      <w:bookmarkEnd w:id="0"/>
      <w:r>
        <w:rPr>
          <w:sz w:val="20"/>
          <w:szCs w:val="20"/>
        </w:rPr>
        <w:t>April 23</w:t>
      </w:r>
      <w:r w:rsidR="00BA6445" w:rsidRPr="003750B8">
        <w:rPr>
          <w:sz w:val="20"/>
          <w:szCs w:val="20"/>
        </w:rPr>
        <w:t>, 2012</w:t>
      </w:r>
    </w:p>
    <w:p w:rsidR="001D2EAA" w:rsidRPr="003750B8" w:rsidRDefault="001D2EAA" w:rsidP="0045309E">
      <w:pPr>
        <w:ind w:right="-270"/>
        <w:rPr>
          <w:sz w:val="20"/>
          <w:szCs w:val="20"/>
        </w:rPr>
      </w:pPr>
    </w:p>
    <w:p w:rsidR="001D2EAA" w:rsidRPr="003750B8" w:rsidRDefault="001D2EAA" w:rsidP="0045309E">
      <w:pPr>
        <w:ind w:right="-270"/>
        <w:rPr>
          <w:sz w:val="20"/>
          <w:szCs w:val="20"/>
        </w:rPr>
      </w:pPr>
    </w:p>
    <w:p w:rsidR="001D2EAA" w:rsidRPr="003750B8" w:rsidRDefault="001D2EAA" w:rsidP="0045309E">
      <w:pPr>
        <w:ind w:right="-270"/>
        <w:rPr>
          <w:sz w:val="20"/>
          <w:szCs w:val="20"/>
        </w:rPr>
      </w:pPr>
      <w:r w:rsidRPr="003750B8">
        <w:rPr>
          <w:sz w:val="20"/>
          <w:szCs w:val="20"/>
        </w:rPr>
        <w:t xml:space="preserve">Dear </w:t>
      </w:r>
      <w:r w:rsidR="00717FF6" w:rsidRPr="003750B8">
        <w:rPr>
          <w:sz w:val="20"/>
          <w:szCs w:val="20"/>
        </w:rPr>
        <w:t xml:space="preserve">Fellow </w:t>
      </w:r>
      <w:r w:rsidRPr="003750B8">
        <w:rPr>
          <w:sz w:val="20"/>
          <w:szCs w:val="20"/>
        </w:rPr>
        <w:t>Shareholder,</w:t>
      </w:r>
    </w:p>
    <w:p w:rsidR="001D2EAA" w:rsidRPr="003750B8" w:rsidRDefault="001D2EAA" w:rsidP="0045309E">
      <w:pPr>
        <w:ind w:right="-270"/>
        <w:rPr>
          <w:sz w:val="20"/>
          <w:szCs w:val="20"/>
        </w:rPr>
      </w:pPr>
    </w:p>
    <w:p w:rsidR="00225A68" w:rsidRPr="003750B8" w:rsidRDefault="003E3BAC" w:rsidP="00225A68">
      <w:pPr>
        <w:ind w:right="-270"/>
        <w:rPr>
          <w:sz w:val="20"/>
          <w:szCs w:val="20"/>
        </w:rPr>
      </w:pPr>
      <w:r w:rsidRPr="003750B8">
        <w:rPr>
          <w:sz w:val="20"/>
          <w:szCs w:val="20"/>
        </w:rPr>
        <w:t xml:space="preserve">Returns </w:t>
      </w:r>
      <w:r w:rsidR="00E3549A" w:rsidRPr="003750B8">
        <w:rPr>
          <w:sz w:val="20"/>
          <w:szCs w:val="20"/>
        </w:rPr>
        <w:t xml:space="preserve">as </w:t>
      </w:r>
      <w:r w:rsidR="00717FF6" w:rsidRPr="003750B8">
        <w:rPr>
          <w:sz w:val="20"/>
          <w:szCs w:val="20"/>
        </w:rPr>
        <w:t>of March</w:t>
      </w:r>
      <w:r w:rsidR="00955517" w:rsidRPr="003750B8">
        <w:rPr>
          <w:sz w:val="20"/>
          <w:szCs w:val="20"/>
        </w:rPr>
        <w:t xml:space="preserve"> 31,</w:t>
      </w:r>
      <w:r w:rsidR="00717FF6" w:rsidRPr="003750B8">
        <w:rPr>
          <w:sz w:val="20"/>
          <w:szCs w:val="20"/>
        </w:rPr>
        <w:t xml:space="preserve"> 2012</w:t>
      </w:r>
      <w:r w:rsidRPr="003750B8">
        <w:rPr>
          <w:sz w:val="20"/>
          <w:szCs w:val="20"/>
        </w:rPr>
        <w:t xml:space="preserve"> for our Funds </w:t>
      </w:r>
      <w:r w:rsidR="00225A68" w:rsidRPr="003750B8">
        <w:rPr>
          <w:sz w:val="20"/>
          <w:szCs w:val="20"/>
        </w:rPr>
        <w:t>and their Russell Benchmarks were as follows:</w:t>
      </w:r>
    </w:p>
    <w:p w:rsidR="005F4AC2" w:rsidRPr="003750B8" w:rsidRDefault="005F4AC2" w:rsidP="00225A68">
      <w:pPr>
        <w:ind w:right="-270"/>
        <w:rPr>
          <w:sz w:val="20"/>
          <w:szCs w:val="20"/>
        </w:rPr>
      </w:pPr>
    </w:p>
    <w:p w:rsidR="00E3549A" w:rsidRPr="003750B8" w:rsidRDefault="00E3549A" w:rsidP="00E3549A">
      <w:pPr>
        <w:ind w:right="-270" w:firstLine="360"/>
        <w:jc w:val="center"/>
        <w:rPr>
          <w:b/>
          <w:i/>
          <w:sz w:val="20"/>
          <w:szCs w:val="20"/>
        </w:rPr>
      </w:pPr>
      <w:r w:rsidRPr="003750B8">
        <w:rPr>
          <w:b/>
          <w:i/>
          <w:sz w:val="20"/>
          <w:szCs w:val="20"/>
        </w:rPr>
        <w:t>Total Returns</w:t>
      </w:r>
    </w:p>
    <w:p w:rsidR="00E3549A" w:rsidRPr="003750B8" w:rsidRDefault="00F43060" w:rsidP="00F43060">
      <w:pPr>
        <w:tabs>
          <w:tab w:val="center" w:pos="4680"/>
          <w:tab w:val="center" w:pos="5580"/>
          <w:tab w:val="center" w:pos="6300"/>
          <w:tab w:val="center" w:pos="7020"/>
          <w:tab w:val="center" w:pos="8280"/>
        </w:tabs>
        <w:ind w:left="-720" w:right="-270" w:firstLine="360"/>
        <w:rPr>
          <w:sz w:val="20"/>
          <w:szCs w:val="20"/>
          <w:u w:val="single"/>
        </w:rPr>
      </w:pPr>
      <w:r w:rsidRPr="003750B8">
        <w:rPr>
          <w:sz w:val="20"/>
          <w:szCs w:val="20"/>
        </w:rPr>
        <w:tab/>
      </w:r>
      <w:r w:rsidR="00E3549A" w:rsidRPr="003750B8">
        <w:rPr>
          <w:sz w:val="20"/>
          <w:szCs w:val="20"/>
          <w:u w:val="single"/>
        </w:rPr>
        <w:t>Quarter</w:t>
      </w:r>
      <w:r w:rsidR="00E3549A" w:rsidRPr="003750B8">
        <w:rPr>
          <w:sz w:val="20"/>
          <w:szCs w:val="20"/>
        </w:rPr>
        <w:tab/>
      </w:r>
      <w:r w:rsidR="00E3549A" w:rsidRPr="003750B8">
        <w:rPr>
          <w:sz w:val="20"/>
          <w:szCs w:val="20"/>
          <w:u w:val="single"/>
        </w:rPr>
        <w:t>1 yr</w:t>
      </w:r>
      <w:r w:rsidR="00E3549A" w:rsidRPr="003750B8">
        <w:rPr>
          <w:sz w:val="20"/>
          <w:szCs w:val="20"/>
        </w:rPr>
        <w:tab/>
      </w:r>
      <w:r w:rsidR="00E3549A" w:rsidRPr="003750B8">
        <w:rPr>
          <w:sz w:val="20"/>
          <w:szCs w:val="20"/>
          <w:u w:val="single"/>
        </w:rPr>
        <w:t>3 yrs</w:t>
      </w:r>
      <w:r w:rsidR="00E3549A" w:rsidRPr="003750B8">
        <w:rPr>
          <w:sz w:val="20"/>
          <w:szCs w:val="20"/>
        </w:rPr>
        <w:tab/>
      </w:r>
      <w:r w:rsidR="00E3549A" w:rsidRPr="003750B8">
        <w:rPr>
          <w:sz w:val="20"/>
          <w:szCs w:val="20"/>
          <w:u w:val="single"/>
        </w:rPr>
        <w:t>5 yrs</w:t>
      </w:r>
      <w:r w:rsidR="00E3549A" w:rsidRPr="003750B8">
        <w:rPr>
          <w:sz w:val="20"/>
          <w:szCs w:val="20"/>
        </w:rPr>
        <w:tab/>
      </w:r>
      <w:r w:rsidR="00E3549A" w:rsidRPr="003750B8">
        <w:rPr>
          <w:sz w:val="20"/>
          <w:szCs w:val="20"/>
          <w:u w:val="single"/>
        </w:rPr>
        <w:t>Since Inception</w:t>
      </w:r>
      <w:r w:rsidR="00367E19" w:rsidRPr="003750B8">
        <w:rPr>
          <w:rStyle w:val="FootnoteReference"/>
          <w:sz w:val="20"/>
          <w:szCs w:val="20"/>
          <w:u w:val="single"/>
        </w:rPr>
        <w:footnoteReference w:customMarkFollows="1" w:id="1"/>
        <w:sym w:font="Symbol" w:char="F02A"/>
      </w:r>
    </w:p>
    <w:p w:rsidR="003E3BAC" w:rsidRPr="003750B8" w:rsidRDefault="003E3BAC" w:rsidP="00F43060">
      <w:pPr>
        <w:tabs>
          <w:tab w:val="center" w:pos="4680"/>
          <w:tab w:val="center" w:pos="5580"/>
          <w:tab w:val="center" w:pos="6300"/>
          <w:tab w:val="center" w:pos="7020"/>
          <w:tab w:val="center" w:pos="8280"/>
        </w:tabs>
        <w:ind w:right="-270"/>
        <w:rPr>
          <w:sz w:val="20"/>
          <w:szCs w:val="20"/>
        </w:rPr>
      </w:pPr>
      <w:r w:rsidRPr="003750B8">
        <w:rPr>
          <w:sz w:val="20"/>
          <w:szCs w:val="20"/>
        </w:rPr>
        <w:t>Global Opportunities, Investor Class (GPGOX)</w:t>
      </w:r>
      <w:r w:rsidR="00547977" w:rsidRPr="003750B8">
        <w:rPr>
          <w:sz w:val="20"/>
          <w:szCs w:val="20"/>
        </w:rPr>
        <w:tab/>
      </w:r>
      <w:r w:rsidR="00695C96" w:rsidRPr="003750B8">
        <w:rPr>
          <w:sz w:val="20"/>
          <w:szCs w:val="20"/>
        </w:rPr>
        <w:t>16.08</w:t>
      </w:r>
      <w:r w:rsidR="00265CFB" w:rsidRPr="003750B8">
        <w:rPr>
          <w:sz w:val="20"/>
          <w:szCs w:val="20"/>
        </w:rPr>
        <w:t>%</w:t>
      </w:r>
      <w:r w:rsidR="00C438ED" w:rsidRPr="003750B8">
        <w:rPr>
          <w:sz w:val="20"/>
          <w:szCs w:val="20"/>
        </w:rPr>
        <w:tab/>
      </w:r>
      <w:r w:rsidR="00F43060" w:rsidRPr="003750B8">
        <w:rPr>
          <w:sz w:val="20"/>
          <w:szCs w:val="20"/>
        </w:rPr>
        <w:t>n/a</w:t>
      </w:r>
      <w:r w:rsidR="00F43060" w:rsidRPr="003750B8">
        <w:rPr>
          <w:sz w:val="20"/>
          <w:szCs w:val="20"/>
        </w:rPr>
        <w:tab/>
      </w:r>
      <w:r w:rsidR="00C438ED" w:rsidRPr="003750B8">
        <w:rPr>
          <w:sz w:val="20"/>
          <w:szCs w:val="20"/>
        </w:rPr>
        <w:t>n/a</w:t>
      </w:r>
      <w:r w:rsidR="00C438ED" w:rsidRPr="003750B8">
        <w:rPr>
          <w:sz w:val="20"/>
          <w:szCs w:val="20"/>
        </w:rPr>
        <w:tab/>
      </w:r>
      <w:r w:rsidR="00717FF6" w:rsidRPr="003750B8">
        <w:rPr>
          <w:sz w:val="20"/>
          <w:szCs w:val="20"/>
        </w:rPr>
        <w:t>n/a</w:t>
      </w:r>
      <w:r w:rsidR="00C438ED" w:rsidRPr="003750B8">
        <w:rPr>
          <w:sz w:val="20"/>
          <w:szCs w:val="20"/>
        </w:rPr>
        <w:tab/>
      </w:r>
      <w:r w:rsidR="00695C96" w:rsidRPr="003750B8">
        <w:rPr>
          <w:sz w:val="20"/>
          <w:szCs w:val="20"/>
        </w:rPr>
        <w:t>15.50</w:t>
      </w:r>
      <w:r w:rsidR="00E3549A" w:rsidRPr="003750B8">
        <w:rPr>
          <w:sz w:val="20"/>
          <w:szCs w:val="20"/>
        </w:rPr>
        <w:t>%</w:t>
      </w:r>
    </w:p>
    <w:p w:rsidR="001D2EAA" w:rsidRPr="003750B8" w:rsidRDefault="003E3BAC" w:rsidP="00F43060">
      <w:pPr>
        <w:tabs>
          <w:tab w:val="center" w:pos="4680"/>
          <w:tab w:val="center" w:pos="5580"/>
          <w:tab w:val="center" w:pos="6300"/>
          <w:tab w:val="center" w:pos="7020"/>
          <w:tab w:val="center" w:pos="8280"/>
        </w:tabs>
        <w:ind w:right="-270"/>
        <w:rPr>
          <w:sz w:val="20"/>
          <w:szCs w:val="20"/>
        </w:rPr>
      </w:pPr>
      <w:r w:rsidRPr="003750B8">
        <w:rPr>
          <w:sz w:val="20"/>
          <w:szCs w:val="20"/>
        </w:rPr>
        <w:t>Global Opportuniti</w:t>
      </w:r>
      <w:r w:rsidR="00E3549A" w:rsidRPr="003750B8">
        <w:rPr>
          <w:sz w:val="20"/>
          <w:szCs w:val="20"/>
        </w:rPr>
        <w:t>es, Institutional Class (GPGIX)</w:t>
      </w:r>
      <w:r w:rsidRPr="003750B8">
        <w:rPr>
          <w:sz w:val="20"/>
          <w:szCs w:val="20"/>
        </w:rPr>
        <w:tab/>
      </w:r>
      <w:r w:rsidR="00695C96" w:rsidRPr="003750B8">
        <w:rPr>
          <w:sz w:val="20"/>
          <w:szCs w:val="20"/>
        </w:rPr>
        <w:t>16.08</w:t>
      </w:r>
      <w:r w:rsidR="00265CFB" w:rsidRPr="003750B8">
        <w:rPr>
          <w:sz w:val="20"/>
          <w:szCs w:val="20"/>
        </w:rPr>
        <w:t>%</w:t>
      </w:r>
      <w:r w:rsidR="00C438ED" w:rsidRPr="003750B8">
        <w:rPr>
          <w:sz w:val="20"/>
          <w:szCs w:val="20"/>
        </w:rPr>
        <w:tab/>
        <w:t>n/a</w:t>
      </w:r>
      <w:r w:rsidR="00C438ED" w:rsidRPr="003750B8">
        <w:rPr>
          <w:sz w:val="20"/>
          <w:szCs w:val="20"/>
        </w:rPr>
        <w:tab/>
        <w:t>n/a</w:t>
      </w:r>
      <w:r w:rsidR="00C438ED" w:rsidRPr="003750B8">
        <w:rPr>
          <w:sz w:val="20"/>
          <w:szCs w:val="20"/>
        </w:rPr>
        <w:tab/>
      </w:r>
      <w:r w:rsidR="00F43060" w:rsidRPr="003750B8">
        <w:rPr>
          <w:sz w:val="20"/>
          <w:szCs w:val="20"/>
        </w:rPr>
        <w:t>n/a</w:t>
      </w:r>
      <w:r w:rsidR="00F43060" w:rsidRPr="003750B8">
        <w:rPr>
          <w:sz w:val="20"/>
          <w:szCs w:val="20"/>
        </w:rPr>
        <w:tab/>
      </w:r>
      <w:r w:rsidR="00695C96" w:rsidRPr="003750B8">
        <w:rPr>
          <w:sz w:val="20"/>
          <w:szCs w:val="20"/>
        </w:rPr>
        <w:t>15.50</w:t>
      </w:r>
      <w:r w:rsidR="00E3549A" w:rsidRPr="003750B8">
        <w:rPr>
          <w:sz w:val="20"/>
          <w:szCs w:val="20"/>
        </w:rPr>
        <w:t>%</w:t>
      </w:r>
    </w:p>
    <w:p w:rsidR="00225A68" w:rsidRPr="003750B8" w:rsidRDefault="00225A68" w:rsidP="00F43060">
      <w:pPr>
        <w:tabs>
          <w:tab w:val="center" w:pos="4680"/>
          <w:tab w:val="center" w:pos="5580"/>
          <w:tab w:val="center" w:pos="6300"/>
          <w:tab w:val="center" w:pos="7020"/>
          <w:tab w:val="center" w:pos="8280"/>
        </w:tabs>
        <w:ind w:right="-270"/>
        <w:rPr>
          <w:i/>
          <w:sz w:val="20"/>
          <w:szCs w:val="20"/>
        </w:rPr>
      </w:pPr>
      <w:r w:rsidRPr="003750B8">
        <w:rPr>
          <w:i/>
          <w:sz w:val="20"/>
          <w:szCs w:val="20"/>
        </w:rPr>
        <w:t>R</w:t>
      </w:r>
      <w:r w:rsidR="00E3549A" w:rsidRPr="003750B8">
        <w:rPr>
          <w:i/>
          <w:sz w:val="20"/>
          <w:szCs w:val="20"/>
        </w:rPr>
        <w:t>ussell Global Small Cap Index</w:t>
      </w:r>
      <w:r w:rsidR="00440AFB" w:rsidRPr="003750B8">
        <w:rPr>
          <w:rStyle w:val="EndnoteReference"/>
          <w:i/>
          <w:sz w:val="20"/>
          <w:szCs w:val="20"/>
        </w:rPr>
        <w:endnoteReference w:id="1"/>
      </w:r>
      <w:r w:rsidR="00C438ED" w:rsidRPr="003750B8">
        <w:rPr>
          <w:i/>
          <w:sz w:val="20"/>
          <w:szCs w:val="20"/>
        </w:rPr>
        <w:tab/>
      </w:r>
      <w:r w:rsidR="00D40600" w:rsidRPr="003750B8">
        <w:rPr>
          <w:i/>
          <w:sz w:val="20"/>
          <w:szCs w:val="20"/>
        </w:rPr>
        <w:t>13.</w:t>
      </w:r>
      <w:r w:rsidR="00C438ED" w:rsidRPr="003750B8">
        <w:rPr>
          <w:i/>
          <w:sz w:val="20"/>
          <w:szCs w:val="20"/>
        </w:rPr>
        <w:t>77</w:t>
      </w:r>
      <w:r w:rsidRPr="003750B8">
        <w:rPr>
          <w:i/>
          <w:sz w:val="20"/>
          <w:szCs w:val="20"/>
        </w:rPr>
        <w:t>%</w:t>
      </w:r>
      <w:r w:rsidR="00C438ED" w:rsidRPr="003750B8">
        <w:rPr>
          <w:i/>
          <w:sz w:val="20"/>
          <w:szCs w:val="20"/>
        </w:rPr>
        <w:tab/>
        <w:t>n/a</w:t>
      </w:r>
      <w:r w:rsidR="00C438ED" w:rsidRPr="003750B8">
        <w:rPr>
          <w:i/>
          <w:sz w:val="20"/>
          <w:szCs w:val="20"/>
        </w:rPr>
        <w:tab/>
        <w:t>n/a</w:t>
      </w:r>
      <w:r w:rsidR="00717FF6" w:rsidRPr="003750B8">
        <w:rPr>
          <w:i/>
          <w:sz w:val="20"/>
          <w:szCs w:val="20"/>
        </w:rPr>
        <w:tab/>
      </w:r>
      <w:r w:rsidR="00765F2F" w:rsidRPr="003750B8">
        <w:rPr>
          <w:i/>
          <w:sz w:val="20"/>
          <w:szCs w:val="20"/>
        </w:rPr>
        <w:t>n/a</w:t>
      </w:r>
      <w:r w:rsidR="00765F2F" w:rsidRPr="003750B8">
        <w:rPr>
          <w:i/>
          <w:sz w:val="20"/>
          <w:szCs w:val="20"/>
        </w:rPr>
        <w:tab/>
      </w:r>
      <w:r w:rsidR="000F4538" w:rsidRPr="003750B8">
        <w:rPr>
          <w:i/>
          <w:sz w:val="20"/>
          <w:szCs w:val="20"/>
        </w:rPr>
        <w:t>13.39</w:t>
      </w:r>
      <w:r w:rsidR="00E3549A" w:rsidRPr="003750B8">
        <w:rPr>
          <w:i/>
          <w:sz w:val="20"/>
          <w:szCs w:val="20"/>
        </w:rPr>
        <w:t>%</w:t>
      </w:r>
    </w:p>
    <w:p w:rsidR="00225A68" w:rsidRPr="003750B8" w:rsidRDefault="00E3549A" w:rsidP="00765F2F">
      <w:pPr>
        <w:tabs>
          <w:tab w:val="center" w:pos="4680"/>
          <w:tab w:val="center" w:pos="5580"/>
          <w:tab w:val="center" w:pos="6300"/>
          <w:tab w:val="center" w:pos="7020"/>
          <w:tab w:val="center" w:pos="8280"/>
        </w:tabs>
        <w:ind w:right="-270"/>
        <w:rPr>
          <w:i/>
          <w:sz w:val="20"/>
          <w:szCs w:val="20"/>
        </w:rPr>
      </w:pPr>
      <w:r w:rsidRPr="003750B8">
        <w:rPr>
          <w:i/>
          <w:sz w:val="20"/>
          <w:szCs w:val="20"/>
        </w:rPr>
        <w:t>Russell Global Index</w:t>
      </w:r>
      <w:r w:rsidR="00440AFB" w:rsidRPr="003750B8">
        <w:rPr>
          <w:rStyle w:val="EndnoteReference"/>
          <w:i/>
          <w:sz w:val="20"/>
          <w:szCs w:val="20"/>
        </w:rPr>
        <w:endnoteReference w:id="2"/>
      </w:r>
      <w:r w:rsidR="00C438ED" w:rsidRPr="003750B8">
        <w:rPr>
          <w:i/>
          <w:sz w:val="20"/>
          <w:szCs w:val="20"/>
        </w:rPr>
        <w:tab/>
      </w:r>
      <w:r w:rsidR="00D40600" w:rsidRPr="003750B8">
        <w:rPr>
          <w:i/>
          <w:sz w:val="20"/>
          <w:szCs w:val="20"/>
        </w:rPr>
        <w:t>12.</w:t>
      </w:r>
      <w:r w:rsidR="006E6206" w:rsidRPr="003750B8">
        <w:rPr>
          <w:i/>
          <w:sz w:val="20"/>
          <w:szCs w:val="20"/>
        </w:rPr>
        <w:t>35</w:t>
      </w:r>
      <w:r w:rsidR="00225A68" w:rsidRPr="003750B8">
        <w:rPr>
          <w:i/>
          <w:sz w:val="20"/>
          <w:szCs w:val="20"/>
        </w:rPr>
        <w:t>%</w:t>
      </w:r>
      <w:r w:rsidR="00C438ED" w:rsidRPr="003750B8">
        <w:rPr>
          <w:i/>
          <w:sz w:val="20"/>
          <w:szCs w:val="20"/>
        </w:rPr>
        <w:tab/>
        <w:t>n/a</w:t>
      </w:r>
      <w:r w:rsidR="00C438ED" w:rsidRPr="003750B8">
        <w:rPr>
          <w:i/>
          <w:sz w:val="20"/>
          <w:szCs w:val="20"/>
        </w:rPr>
        <w:tab/>
        <w:t>n/a</w:t>
      </w:r>
      <w:r w:rsidR="00717FF6" w:rsidRPr="003750B8">
        <w:rPr>
          <w:i/>
          <w:sz w:val="20"/>
          <w:szCs w:val="20"/>
        </w:rPr>
        <w:tab/>
      </w:r>
      <w:r w:rsidR="00765F2F" w:rsidRPr="003750B8">
        <w:rPr>
          <w:i/>
          <w:sz w:val="20"/>
          <w:szCs w:val="20"/>
        </w:rPr>
        <w:t>n/a</w:t>
      </w:r>
      <w:r w:rsidR="00765F2F" w:rsidRPr="003750B8">
        <w:rPr>
          <w:i/>
          <w:sz w:val="20"/>
          <w:szCs w:val="20"/>
        </w:rPr>
        <w:tab/>
      </w:r>
      <w:r w:rsidR="000F4538" w:rsidRPr="003750B8">
        <w:rPr>
          <w:i/>
          <w:sz w:val="20"/>
          <w:szCs w:val="20"/>
        </w:rPr>
        <w:t>13.26</w:t>
      </w:r>
      <w:r w:rsidRPr="003750B8">
        <w:rPr>
          <w:i/>
          <w:sz w:val="20"/>
          <w:szCs w:val="20"/>
        </w:rPr>
        <w:t>%</w:t>
      </w:r>
    </w:p>
    <w:p w:rsidR="00225A68" w:rsidRPr="003750B8" w:rsidRDefault="00225A68" w:rsidP="00BB1E3F">
      <w:pPr>
        <w:ind w:right="-270"/>
        <w:rPr>
          <w:sz w:val="20"/>
          <w:szCs w:val="20"/>
        </w:rPr>
      </w:pPr>
    </w:p>
    <w:p w:rsidR="003E3BAC" w:rsidRPr="003750B8" w:rsidRDefault="00E3549A" w:rsidP="00765F2F">
      <w:pPr>
        <w:tabs>
          <w:tab w:val="center" w:pos="4680"/>
          <w:tab w:val="center" w:pos="5580"/>
          <w:tab w:val="center" w:pos="6300"/>
          <w:tab w:val="center" w:pos="7020"/>
          <w:tab w:val="center" w:pos="8280"/>
        </w:tabs>
        <w:ind w:right="-270"/>
        <w:rPr>
          <w:sz w:val="20"/>
          <w:szCs w:val="20"/>
        </w:rPr>
      </w:pPr>
      <w:r w:rsidRPr="003750B8">
        <w:rPr>
          <w:sz w:val="20"/>
          <w:szCs w:val="20"/>
        </w:rPr>
        <w:t>Int</w:t>
      </w:r>
      <w:r w:rsidR="003E3BAC" w:rsidRPr="003750B8">
        <w:rPr>
          <w:sz w:val="20"/>
          <w:szCs w:val="20"/>
        </w:rPr>
        <w:t>l Opportunities, Inve</w:t>
      </w:r>
      <w:r w:rsidR="00C438ED" w:rsidRPr="003750B8">
        <w:rPr>
          <w:sz w:val="20"/>
          <w:szCs w:val="20"/>
        </w:rPr>
        <w:t>stor Class (GPIOX)</w:t>
      </w:r>
      <w:r w:rsidR="00C438ED" w:rsidRPr="003750B8">
        <w:rPr>
          <w:sz w:val="20"/>
          <w:szCs w:val="20"/>
        </w:rPr>
        <w:tab/>
      </w:r>
      <w:r w:rsidR="00695C96" w:rsidRPr="003750B8">
        <w:rPr>
          <w:sz w:val="20"/>
          <w:szCs w:val="20"/>
        </w:rPr>
        <w:t>17.62</w:t>
      </w:r>
      <w:r w:rsidR="00265CFB" w:rsidRPr="003750B8">
        <w:rPr>
          <w:sz w:val="20"/>
          <w:szCs w:val="20"/>
        </w:rPr>
        <w:t>%</w:t>
      </w:r>
      <w:r w:rsidR="00C438ED" w:rsidRPr="003750B8">
        <w:rPr>
          <w:sz w:val="20"/>
          <w:szCs w:val="20"/>
        </w:rPr>
        <w:tab/>
        <w:t>n/a</w:t>
      </w:r>
      <w:r w:rsidR="00C438ED" w:rsidRPr="003750B8">
        <w:rPr>
          <w:sz w:val="20"/>
          <w:szCs w:val="20"/>
        </w:rPr>
        <w:tab/>
        <w:t>n/a</w:t>
      </w:r>
      <w:r w:rsidR="00C438ED" w:rsidRPr="003750B8">
        <w:rPr>
          <w:sz w:val="20"/>
          <w:szCs w:val="20"/>
        </w:rPr>
        <w:tab/>
      </w:r>
      <w:r w:rsidR="00765F2F" w:rsidRPr="003750B8">
        <w:rPr>
          <w:sz w:val="20"/>
          <w:szCs w:val="20"/>
        </w:rPr>
        <w:t>n/a</w:t>
      </w:r>
      <w:r w:rsidR="00765F2F" w:rsidRPr="003750B8">
        <w:rPr>
          <w:sz w:val="20"/>
          <w:szCs w:val="20"/>
        </w:rPr>
        <w:tab/>
      </w:r>
      <w:r w:rsidR="00695C96" w:rsidRPr="003750B8">
        <w:rPr>
          <w:sz w:val="20"/>
          <w:szCs w:val="20"/>
        </w:rPr>
        <w:t>13.50</w:t>
      </w:r>
      <w:r w:rsidRPr="003750B8">
        <w:rPr>
          <w:sz w:val="20"/>
          <w:szCs w:val="20"/>
        </w:rPr>
        <w:t>%</w:t>
      </w:r>
    </w:p>
    <w:p w:rsidR="003E3BAC" w:rsidRPr="003750B8" w:rsidRDefault="00E3549A" w:rsidP="00765F2F">
      <w:pPr>
        <w:tabs>
          <w:tab w:val="center" w:pos="4680"/>
          <w:tab w:val="center" w:pos="5580"/>
          <w:tab w:val="center" w:pos="6300"/>
          <w:tab w:val="center" w:pos="7020"/>
          <w:tab w:val="center" w:pos="8280"/>
        </w:tabs>
        <w:ind w:right="-270"/>
        <w:rPr>
          <w:sz w:val="20"/>
          <w:szCs w:val="20"/>
        </w:rPr>
      </w:pPr>
      <w:r w:rsidRPr="003750B8">
        <w:rPr>
          <w:sz w:val="20"/>
          <w:szCs w:val="20"/>
        </w:rPr>
        <w:t>Int</w:t>
      </w:r>
      <w:r w:rsidR="003E3BAC" w:rsidRPr="003750B8">
        <w:rPr>
          <w:sz w:val="20"/>
          <w:szCs w:val="20"/>
        </w:rPr>
        <w:t>l Opportuniti</w:t>
      </w:r>
      <w:r w:rsidR="00BB1E3F" w:rsidRPr="003750B8">
        <w:rPr>
          <w:sz w:val="20"/>
          <w:szCs w:val="20"/>
        </w:rPr>
        <w:t>es, Institutional Class (GPIIX)</w:t>
      </w:r>
      <w:r w:rsidR="003E3BAC" w:rsidRPr="003750B8">
        <w:rPr>
          <w:sz w:val="20"/>
          <w:szCs w:val="20"/>
        </w:rPr>
        <w:tab/>
      </w:r>
      <w:r w:rsidR="00695C96" w:rsidRPr="003750B8">
        <w:rPr>
          <w:sz w:val="20"/>
          <w:szCs w:val="20"/>
        </w:rPr>
        <w:t>17.62</w:t>
      </w:r>
      <w:r w:rsidR="00265CFB" w:rsidRPr="003750B8">
        <w:rPr>
          <w:sz w:val="20"/>
          <w:szCs w:val="20"/>
        </w:rPr>
        <w:t>%</w:t>
      </w:r>
      <w:r w:rsidR="00C438ED" w:rsidRPr="003750B8">
        <w:rPr>
          <w:sz w:val="20"/>
          <w:szCs w:val="20"/>
        </w:rPr>
        <w:tab/>
        <w:t>n/a</w:t>
      </w:r>
      <w:r w:rsidR="00C438ED" w:rsidRPr="003750B8">
        <w:rPr>
          <w:sz w:val="20"/>
          <w:szCs w:val="20"/>
        </w:rPr>
        <w:tab/>
        <w:t>n/a</w:t>
      </w:r>
      <w:r w:rsidR="00717FF6" w:rsidRPr="003750B8">
        <w:rPr>
          <w:sz w:val="20"/>
          <w:szCs w:val="20"/>
        </w:rPr>
        <w:tab/>
      </w:r>
      <w:r w:rsidR="00765F2F" w:rsidRPr="003750B8">
        <w:rPr>
          <w:sz w:val="20"/>
          <w:szCs w:val="20"/>
        </w:rPr>
        <w:t>n/a</w:t>
      </w:r>
      <w:r w:rsidR="00765F2F" w:rsidRPr="003750B8">
        <w:rPr>
          <w:sz w:val="20"/>
          <w:szCs w:val="20"/>
        </w:rPr>
        <w:tab/>
      </w:r>
      <w:r w:rsidR="00695C96" w:rsidRPr="003750B8">
        <w:rPr>
          <w:sz w:val="20"/>
          <w:szCs w:val="20"/>
        </w:rPr>
        <w:t>13.50</w:t>
      </w:r>
      <w:r w:rsidRPr="003750B8">
        <w:rPr>
          <w:sz w:val="20"/>
          <w:szCs w:val="20"/>
        </w:rPr>
        <w:t>%</w:t>
      </w:r>
    </w:p>
    <w:p w:rsidR="00727D1E" w:rsidRPr="003750B8" w:rsidRDefault="00727D1E" w:rsidP="00765F2F">
      <w:pPr>
        <w:tabs>
          <w:tab w:val="center" w:pos="4680"/>
          <w:tab w:val="center" w:pos="5580"/>
          <w:tab w:val="center" w:pos="6300"/>
          <w:tab w:val="center" w:pos="7020"/>
          <w:tab w:val="center" w:pos="8280"/>
        </w:tabs>
        <w:ind w:right="-270"/>
        <w:rPr>
          <w:i/>
          <w:sz w:val="20"/>
          <w:szCs w:val="20"/>
        </w:rPr>
      </w:pPr>
      <w:r w:rsidRPr="003750B8">
        <w:rPr>
          <w:i/>
          <w:sz w:val="20"/>
          <w:szCs w:val="20"/>
        </w:rPr>
        <w:t>Russell</w:t>
      </w:r>
      <w:r w:rsidR="00E3549A" w:rsidRPr="003750B8">
        <w:rPr>
          <w:i/>
          <w:sz w:val="20"/>
          <w:szCs w:val="20"/>
        </w:rPr>
        <w:t xml:space="preserve"> Global ex US Small Cap Index</w:t>
      </w:r>
      <w:r w:rsidR="00440AFB" w:rsidRPr="003750B8">
        <w:rPr>
          <w:rStyle w:val="EndnoteReference"/>
          <w:i/>
          <w:sz w:val="20"/>
          <w:szCs w:val="20"/>
        </w:rPr>
        <w:endnoteReference w:id="3"/>
      </w:r>
      <w:r w:rsidR="00E3549A" w:rsidRPr="003750B8">
        <w:rPr>
          <w:i/>
          <w:sz w:val="20"/>
          <w:szCs w:val="20"/>
        </w:rPr>
        <w:tab/>
      </w:r>
      <w:r w:rsidR="006E6206" w:rsidRPr="003750B8">
        <w:rPr>
          <w:i/>
          <w:sz w:val="20"/>
          <w:szCs w:val="20"/>
        </w:rPr>
        <w:t>14.54</w:t>
      </w:r>
      <w:r w:rsidRPr="003750B8">
        <w:rPr>
          <w:i/>
          <w:sz w:val="20"/>
          <w:szCs w:val="20"/>
        </w:rPr>
        <w:t>%</w:t>
      </w:r>
      <w:r w:rsidR="00C438ED" w:rsidRPr="003750B8">
        <w:rPr>
          <w:i/>
          <w:sz w:val="20"/>
          <w:szCs w:val="20"/>
        </w:rPr>
        <w:tab/>
        <w:t>n/a</w:t>
      </w:r>
      <w:r w:rsidR="00C438ED" w:rsidRPr="003750B8">
        <w:rPr>
          <w:i/>
          <w:sz w:val="20"/>
          <w:szCs w:val="20"/>
        </w:rPr>
        <w:tab/>
        <w:t>n/a</w:t>
      </w:r>
      <w:r w:rsidR="00C438ED" w:rsidRPr="003750B8">
        <w:rPr>
          <w:i/>
          <w:sz w:val="20"/>
          <w:szCs w:val="20"/>
        </w:rPr>
        <w:tab/>
      </w:r>
      <w:r w:rsidR="00765F2F" w:rsidRPr="003750B8">
        <w:rPr>
          <w:i/>
          <w:sz w:val="20"/>
          <w:szCs w:val="20"/>
        </w:rPr>
        <w:t>n/a</w:t>
      </w:r>
      <w:r w:rsidR="00765F2F" w:rsidRPr="003750B8">
        <w:rPr>
          <w:i/>
          <w:sz w:val="20"/>
          <w:szCs w:val="20"/>
        </w:rPr>
        <w:tab/>
      </w:r>
      <w:r w:rsidR="000F4538" w:rsidRPr="003750B8">
        <w:rPr>
          <w:i/>
          <w:sz w:val="20"/>
          <w:szCs w:val="20"/>
        </w:rPr>
        <w:t>9.26</w:t>
      </w:r>
      <w:r w:rsidR="00E3549A" w:rsidRPr="003750B8">
        <w:rPr>
          <w:i/>
          <w:sz w:val="20"/>
          <w:szCs w:val="20"/>
        </w:rPr>
        <w:t>%</w:t>
      </w:r>
    </w:p>
    <w:p w:rsidR="00B56C74" w:rsidRPr="003750B8" w:rsidRDefault="00B56C74" w:rsidP="00765F2F">
      <w:pPr>
        <w:tabs>
          <w:tab w:val="center" w:pos="4680"/>
          <w:tab w:val="center" w:pos="5580"/>
          <w:tab w:val="center" w:pos="6300"/>
          <w:tab w:val="center" w:pos="7020"/>
          <w:tab w:val="center" w:pos="8280"/>
        </w:tabs>
        <w:ind w:right="-270"/>
        <w:rPr>
          <w:i/>
          <w:sz w:val="20"/>
          <w:szCs w:val="20"/>
        </w:rPr>
      </w:pPr>
      <w:r w:rsidRPr="003750B8">
        <w:rPr>
          <w:i/>
          <w:sz w:val="20"/>
          <w:szCs w:val="20"/>
        </w:rPr>
        <w:t>Russell Global ex US Index</w:t>
      </w:r>
      <w:r w:rsidR="00440AFB" w:rsidRPr="003750B8">
        <w:rPr>
          <w:rStyle w:val="EndnoteReference"/>
          <w:i/>
          <w:sz w:val="20"/>
          <w:szCs w:val="20"/>
        </w:rPr>
        <w:endnoteReference w:id="4"/>
      </w:r>
      <w:r w:rsidR="00C438ED" w:rsidRPr="003750B8">
        <w:rPr>
          <w:i/>
          <w:sz w:val="20"/>
          <w:szCs w:val="20"/>
        </w:rPr>
        <w:tab/>
      </w:r>
      <w:r w:rsidR="006E6206" w:rsidRPr="003750B8">
        <w:rPr>
          <w:i/>
          <w:sz w:val="20"/>
          <w:szCs w:val="20"/>
        </w:rPr>
        <w:t>11.92</w:t>
      </w:r>
      <w:r w:rsidR="003B59C1" w:rsidRPr="003750B8">
        <w:rPr>
          <w:i/>
          <w:sz w:val="20"/>
          <w:szCs w:val="20"/>
        </w:rPr>
        <w:t>%</w:t>
      </w:r>
      <w:r w:rsidR="00C438ED" w:rsidRPr="003750B8">
        <w:rPr>
          <w:i/>
          <w:sz w:val="20"/>
          <w:szCs w:val="20"/>
        </w:rPr>
        <w:tab/>
        <w:t>n/a</w:t>
      </w:r>
      <w:r w:rsidR="00C438ED" w:rsidRPr="003750B8">
        <w:rPr>
          <w:i/>
          <w:sz w:val="20"/>
          <w:szCs w:val="20"/>
        </w:rPr>
        <w:tab/>
        <w:t>n/a</w:t>
      </w:r>
      <w:r w:rsidR="00717FF6" w:rsidRPr="003750B8">
        <w:rPr>
          <w:i/>
          <w:sz w:val="20"/>
          <w:szCs w:val="20"/>
        </w:rPr>
        <w:tab/>
      </w:r>
      <w:r w:rsidR="00765F2F" w:rsidRPr="003750B8">
        <w:rPr>
          <w:i/>
          <w:sz w:val="20"/>
          <w:szCs w:val="20"/>
        </w:rPr>
        <w:t>n/a</w:t>
      </w:r>
      <w:r w:rsidR="00765F2F" w:rsidRPr="003750B8">
        <w:rPr>
          <w:i/>
          <w:sz w:val="20"/>
          <w:szCs w:val="20"/>
        </w:rPr>
        <w:tab/>
      </w:r>
      <w:r w:rsidR="000F4538" w:rsidRPr="003750B8">
        <w:rPr>
          <w:i/>
          <w:sz w:val="20"/>
          <w:szCs w:val="20"/>
        </w:rPr>
        <w:t>8.78</w:t>
      </w:r>
      <w:r w:rsidR="00E3549A" w:rsidRPr="003750B8">
        <w:rPr>
          <w:i/>
          <w:sz w:val="20"/>
          <w:szCs w:val="20"/>
        </w:rPr>
        <w:t>%</w:t>
      </w:r>
    </w:p>
    <w:p w:rsidR="00B56C74" w:rsidRPr="003750B8" w:rsidRDefault="00B56C74" w:rsidP="0045309E">
      <w:pPr>
        <w:ind w:left="360" w:right="-270"/>
        <w:rPr>
          <w:sz w:val="20"/>
          <w:szCs w:val="20"/>
        </w:rPr>
      </w:pPr>
    </w:p>
    <w:p w:rsidR="00A70D2B" w:rsidRDefault="00F50993" w:rsidP="00547977">
      <w:pPr>
        <w:widowControl w:val="0"/>
        <w:autoSpaceDE w:val="0"/>
        <w:autoSpaceDN w:val="0"/>
        <w:adjustRightInd w:val="0"/>
        <w:spacing w:after="240"/>
        <w:rPr>
          <w:i/>
          <w:iCs/>
          <w:sz w:val="20"/>
          <w:szCs w:val="20"/>
        </w:rPr>
      </w:pPr>
      <w:r w:rsidRPr="003750B8">
        <w:rPr>
          <w:i/>
          <w:iCs/>
          <w:sz w:val="20"/>
          <w:szCs w:val="20"/>
        </w:rPr>
        <w:t xml:space="preserve">The Grandeur Peak Funds </w:t>
      </w:r>
      <w:r w:rsidR="00A70D2B">
        <w:rPr>
          <w:i/>
          <w:iCs/>
          <w:sz w:val="20"/>
          <w:szCs w:val="20"/>
        </w:rPr>
        <w:t xml:space="preserve">are new and </w:t>
      </w:r>
      <w:r w:rsidRPr="003750B8">
        <w:rPr>
          <w:i/>
          <w:iCs/>
          <w:sz w:val="20"/>
          <w:szCs w:val="20"/>
        </w:rPr>
        <w:t xml:space="preserve">have limited performance history. </w:t>
      </w:r>
      <w:r w:rsidR="00A70D2B">
        <w:rPr>
          <w:i/>
          <w:iCs/>
          <w:sz w:val="20"/>
          <w:szCs w:val="20"/>
        </w:rPr>
        <w:t xml:space="preserve">The recent growth rate in the stock market has helped to produce short-term returns for some asset classes that are not typical and may not continue in the future. Because of ongoing market volatility, fund performance may be subject to substantial short-term changes. </w:t>
      </w:r>
    </w:p>
    <w:p w:rsidR="00547977" w:rsidRPr="003750B8" w:rsidRDefault="00547977" w:rsidP="00547977">
      <w:pPr>
        <w:widowControl w:val="0"/>
        <w:autoSpaceDE w:val="0"/>
        <w:autoSpaceDN w:val="0"/>
        <w:adjustRightInd w:val="0"/>
        <w:spacing w:after="240"/>
        <w:rPr>
          <w:i/>
          <w:sz w:val="20"/>
          <w:szCs w:val="20"/>
        </w:rPr>
      </w:pPr>
      <w:r w:rsidRPr="003750B8">
        <w:rPr>
          <w:i/>
          <w:iCs/>
          <w:sz w:val="20"/>
          <w:szCs w:val="20"/>
        </w:rPr>
        <w:t xml:space="preserve">Data shows past performance, which is not indicative of future performance. Current performance may be lower or higher than the data quoted. To obtain the most recent month-end performance data available, please visit </w:t>
      </w:r>
      <w:hyperlink r:id="rId9" w:history="1">
        <w:r w:rsidR="00D9721F" w:rsidRPr="003750B8">
          <w:rPr>
            <w:rStyle w:val="Hyperlink"/>
            <w:i/>
            <w:iCs/>
            <w:sz w:val="20"/>
            <w:szCs w:val="20"/>
          </w:rPr>
          <w:t>www.grandeurpeakglobal.com</w:t>
        </w:r>
      </w:hyperlink>
      <w:r w:rsidRPr="003750B8">
        <w:rPr>
          <w:i/>
          <w:iCs/>
          <w:color w:val="0023F2"/>
          <w:sz w:val="20"/>
          <w:szCs w:val="20"/>
        </w:rPr>
        <w:t xml:space="preserve">.  </w:t>
      </w:r>
      <w:r w:rsidRPr="003750B8">
        <w:rPr>
          <w:i/>
          <w:iCs/>
          <w:sz w:val="20"/>
          <w:szCs w:val="20"/>
        </w:rPr>
        <w:t xml:space="preserve">The Advisor may absorb certain Fund expenses, without which total return would have been lower.  Investment returns and principal value will fluctuate and shares, when redeemed, may be worth more or less than their original cost.  </w:t>
      </w:r>
      <w:r w:rsidRPr="003750B8">
        <w:rPr>
          <w:b/>
          <w:iCs/>
          <w:sz w:val="20"/>
          <w:szCs w:val="20"/>
        </w:rPr>
        <w:t xml:space="preserve">Total Expense Ratio: </w:t>
      </w:r>
      <w:r w:rsidR="00B96634" w:rsidRPr="003750B8">
        <w:rPr>
          <w:b/>
          <w:iCs/>
          <w:sz w:val="20"/>
          <w:szCs w:val="20"/>
        </w:rPr>
        <w:t xml:space="preserve">Gross 2.35% / </w:t>
      </w:r>
      <w:r w:rsidR="00B96634" w:rsidRPr="003750B8">
        <w:rPr>
          <w:iCs/>
          <w:sz w:val="20"/>
          <w:szCs w:val="20"/>
        </w:rPr>
        <w:t>Net 1.75%</w:t>
      </w:r>
      <w:r w:rsidR="00B96634" w:rsidRPr="003750B8">
        <w:rPr>
          <w:b/>
          <w:iCs/>
          <w:sz w:val="20"/>
          <w:szCs w:val="20"/>
        </w:rPr>
        <w:t xml:space="preserve"> </w:t>
      </w:r>
      <w:r w:rsidRPr="003750B8">
        <w:rPr>
          <w:b/>
          <w:iCs/>
          <w:sz w:val="20"/>
          <w:szCs w:val="20"/>
        </w:rPr>
        <w:t xml:space="preserve">for Investor Class Shares, </w:t>
      </w:r>
      <w:r w:rsidR="00B96634" w:rsidRPr="003750B8">
        <w:rPr>
          <w:b/>
          <w:iCs/>
          <w:sz w:val="20"/>
          <w:szCs w:val="20"/>
        </w:rPr>
        <w:t xml:space="preserve">Gross 2.10% / </w:t>
      </w:r>
      <w:r w:rsidR="00B96634" w:rsidRPr="003750B8">
        <w:rPr>
          <w:iCs/>
          <w:sz w:val="20"/>
          <w:szCs w:val="20"/>
        </w:rPr>
        <w:t>Net 1.50%</w:t>
      </w:r>
      <w:r w:rsidR="00B96634" w:rsidRPr="003750B8">
        <w:rPr>
          <w:b/>
          <w:iCs/>
          <w:sz w:val="20"/>
          <w:szCs w:val="20"/>
        </w:rPr>
        <w:t xml:space="preserve"> </w:t>
      </w:r>
      <w:r w:rsidRPr="003750B8">
        <w:rPr>
          <w:b/>
          <w:iCs/>
          <w:sz w:val="20"/>
          <w:szCs w:val="20"/>
        </w:rPr>
        <w:t>for Institutional Class Shares.</w:t>
      </w:r>
      <w:r w:rsidR="00F50993" w:rsidRPr="003750B8">
        <w:rPr>
          <w:sz w:val="20"/>
          <w:szCs w:val="20"/>
        </w:rPr>
        <w:t xml:space="preserve"> </w:t>
      </w:r>
      <w:r w:rsidRPr="003750B8">
        <w:rPr>
          <w:bCs/>
          <w:i/>
          <w:sz w:val="20"/>
          <w:szCs w:val="20"/>
        </w:rPr>
        <w:t>The Advisor has contractually agreed to limit certain expenses to 1.75% for Investor Class Shares and 1.5</w:t>
      </w:r>
      <w:r w:rsidR="00955517" w:rsidRPr="003750B8">
        <w:rPr>
          <w:bCs/>
          <w:i/>
          <w:sz w:val="20"/>
          <w:szCs w:val="20"/>
        </w:rPr>
        <w:t>0</w:t>
      </w:r>
      <w:r w:rsidRPr="003750B8">
        <w:rPr>
          <w:bCs/>
          <w:i/>
          <w:sz w:val="20"/>
          <w:szCs w:val="20"/>
        </w:rPr>
        <w:t xml:space="preserve">% for Institutional Class Shares through at least </w:t>
      </w:r>
      <w:r w:rsidR="00691AF6" w:rsidRPr="003750B8">
        <w:rPr>
          <w:bCs/>
          <w:i/>
          <w:sz w:val="20"/>
          <w:szCs w:val="20"/>
        </w:rPr>
        <w:t>8</w:t>
      </w:r>
      <w:r w:rsidRPr="003750B8">
        <w:rPr>
          <w:bCs/>
          <w:i/>
          <w:sz w:val="20"/>
          <w:szCs w:val="20"/>
        </w:rPr>
        <w:t>/31/201</w:t>
      </w:r>
      <w:r w:rsidR="00691AF6" w:rsidRPr="003750B8">
        <w:rPr>
          <w:bCs/>
          <w:i/>
          <w:sz w:val="20"/>
          <w:szCs w:val="20"/>
        </w:rPr>
        <w:t>3</w:t>
      </w:r>
      <w:r w:rsidRPr="003750B8">
        <w:rPr>
          <w:bCs/>
          <w:i/>
          <w:sz w:val="20"/>
          <w:szCs w:val="20"/>
        </w:rPr>
        <w:t>.</w:t>
      </w:r>
      <w:r w:rsidRPr="003750B8">
        <w:rPr>
          <w:b/>
          <w:bCs/>
          <w:i/>
          <w:sz w:val="20"/>
          <w:szCs w:val="20"/>
        </w:rPr>
        <w:t xml:space="preserve"> </w:t>
      </w:r>
      <w:r w:rsidR="00691AF6" w:rsidRPr="003750B8">
        <w:rPr>
          <w:b/>
          <w:bCs/>
          <w:i/>
          <w:sz w:val="20"/>
          <w:szCs w:val="20"/>
        </w:rPr>
        <w:t xml:space="preserve"> </w:t>
      </w:r>
      <w:r w:rsidRPr="003750B8">
        <w:rPr>
          <w:i/>
          <w:sz w:val="20"/>
          <w:szCs w:val="20"/>
        </w:rPr>
        <w:t>See the prospectus for additional information regarding Fund expenses.</w:t>
      </w:r>
    </w:p>
    <w:p w:rsidR="00547977" w:rsidRPr="003750B8" w:rsidRDefault="00691AF6" w:rsidP="00547977">
      <w:pPr>
        <w:widowControl w:val="0"/>
        <w:autoSpaceDE w:val="0"/>
        <w:autoSpaceDN w:val="0"/>
        <w:adjustRightInd w:val="0"/>
        <w:spacing w:after="240"/>
        <w:rPr>
          <w:sz w:val="20"/>
          <w:szCs w:val="20"/>
        </w:rPr>
      </w:pPr>
      <w:r w:rsidRPr="003750B8">
        <w:rPr>
          <w:i/>
          <w:iCs/>
          <w:sz w:val="20"/>
          <w:szCs w:val="20"/>
        </w:rPr>
        <w:t>Grandeur Peak Global Advisor</w:t>
      </w:r>
      <w:r w:rsidR="00547977" w:rsidRPr="003750B8">
        <w:rPr>
          <w:i/>
          <w:iCs/>
          <w:sz w:val="20"/>
          <w:szCs w:val="20"/>
        </w:rPr>
        <w:t>s will deduct a 2.00% redemption proceeds fee on Fund shares held 60 days or less. Performance data does not reflect the deduction of fees or taxes, which if reflected, would reduce the performance quoted. For more complete information including charges, risks and expenses, read the prospectus carefully.</w:t>
      </w:r>
    </w:p>
    <w:p w:rsidR="00862544" w:rsidRPr="003750B8" w:rsidRDefault="003750B8" w:rsidP="003750B8">
      <w:pPr>
        <w:widowControl w:val="0"/>
        <w:autoSpaceDE w:val="0"/>
        <w:autoSpaceDN w:val="0"/>
        <w:adjustRightInd w:val="0"/>
        <w:spacing w:after="240"/>
        <w:rPr>
          <w:sz w:val="20"/>
          <w:szCs w:val="20"/>
        </w:rPr>
      </w:pPr>
      <w:r w:rsidRPr="003750B8">
        <w:rPr>
          <w:b/>
          <w:bCs/>
          <w:sz w:val="20"/>
          <w:szCs w:val="20"/>
        </w:rPr>
        <w:t xml:space="preserve">RISKS: </w:t>
      </w:r>
      <w:r w:rsidR="00547977" w:rsidRPr="003750B8">
        <w:rPr>
          <w:b/>
          <w:bCs/>
          <w:sz w:val="20"/>
          <w:szCs w:val="20"/>
        </w:rPr>
        <w:t xml:space="preserve">Investing in small and micro cap funds will be more volatile and loss of principal could be greater than investing in large cap or more diversified funds. </w:t>
      </w:r>
      <w:r w:rsidR="00D9721F" w:rsidRPr="003750B8">
        <w:rPr>
          <w:b/>
          <w:bCs/>
          <w:sz w:val="20"/>
          <w:szCs w:val="20"/>
        </w:rPr>
        <w:t xml:space="preserve"> </w:t>
      </w:r>
      <w:r w:rsidR="00547977" w:rsidRPr="003750B8">
        <w:rPr>
          <w:b/>
          <w:bCs/>
          <w:sz w:val="20"/>
          <w:szCs w:val="20"/>
        </w:rPr>
        <w:t>Investing in foreign securities</w:t>
      </w:r>
      <w:r w:rsidR="00D9721F" w:rsidRPr="003750B8">
        <w:rPr>
          <w:b/>
          <w:bCs/>
          <w:sz w:val="20"/>
          <w:szCs w:val="20"/>
        </w:rPr>
        <w:t xml:space="preserve"> entails special risks, such as currency fluctuations and political uncertainties, which are described in more detail in the prospectus.  Investments in emerging markets are subject to the same risks as other foreign securities and may be subject to greater risks than investments in foreign countries with more established economies and securities markets.</w:t>
      </w:r>
    </w:p>
    <w:p w:rsidR="00862544" w:rsidRPr="003750B8" w:rsidRDefault="00862544" w:rsidP="00862544">
      <w:pPr>
        <w:ind w:right="-270"/>
        <w:rPr>
          <w:bCs/>
          <w:i/>
          <w:iCs/>
          <w:sz w:val="20"/>
          <w:szCs w:val="20"/>
        </w:rPr>
      </w:pPr>
      <w:r w:rsidRPr="003750B8">
        <w:rPr>
          <w:bCs/>
          <w:i/>
          <w:iCs/>
          <w:sz w:val="20"/>
          <w:szCs w:val="20"/>
        </w:rPr>
        <w:t>This must be accompanied or preceded by a prospectu</w:t>
      </w:r>
      <w:r w:rsidR="00AE5F40" w:rsidRPr="003750B8">
        <w:rPr>
          <w:bCs/>
          <w:i/>
          <w:iCs/>
          <w:sz w:val="20"/>
          <w:szCs w:val="20"/>
        </w:rPr>
        <w:t xml:space="preserve">s. You can download a prospectus at </w:t>
      </w:r>
      <w:hyperlink r:id="rId10" w:history="1">
        <w:r w:rsidR="00AE5F40" w:rsidRPr="003750B8">
          <w:rPr>
            <w:rStyle w:val="Hyperlink"/>
            <w:bCs/>
            <w:i/>
            <w:iCs/>
            <w:sz w:val="20"/>
            <w:szCs w:val="20"/>
          </w:rPr>
          <w:t>http://www.grandeurpeakglobal.com/fund-literature.php</w:t>
        </w:r>
      </w:hyperlink>
      <w:r w:rsidR="00AE5F40" w:rsidRPr="003750B8">
        <w:rPr>
          <w:bCs/>
          <w:i/>
          <w:iCs/>
          <w:sz w:val="20"/>
          <w:szCs w:val="20"/>
        </w:rPr>
        <w:t xml:space="preserve">.   </w:t>
      </w:r>
      <w:r w:rsidRPr="003750B8">
        <w:rPr>
          <w:bCs/>
          <w:i/>
          <w:iCs/>
          <w:sz w:val="20"/>
          <w:szCs w:val="20"/>
        </w:rPr>
        <w:t>Please read it carefully before investing</w:t>
      </w:r>
      <w:r w:rsidR="000152A0" w:rsidRPr="003750B8">
        <w:rPr>
          <w:bCs/>
          <w:i/>
          <w:iCs/>
          <w:sz w:val="20"/>
          <w:szCs w:val="20"/>
        </w:rPr>
        <w:t>.</w:t>
      </w:r>
    </w:p>
    <w:p w:rsidR="00FD6B57" w:rsidRDefault="00FD6B57">
      <w:pPr>
        <w:rPr>
          <w:rFonts w:asciiTheme="majorHAnsi" w:hAnsiTheme="majorHAnsi"/>
          <w:b/>
          <w:bCs/>
          <w:i/>
          <w:sz w:val="22"/>
        </w:rPr>
      </w:pPr>
      <w:r>
        <w:rPr>
          <w:rFonts w:asciiTheme="majorHAnsi" w:hAnsiTheme="majorHAnsi"/>
          <w:b/>
          <w:bCs/>
          <w:i/>
          <w:sz w:val="22"/>
        </w:rPr>
        <w:br w:type="page"/>
      </w:r>
    </w:p>
    <w:p w:rsidR="00D9721F" w:rsidRPr="003750B8" w:rsidRDefault="00D93D65" w:rsidP="00D9721F">
      <w:pPr>
        <w:ind w:right="-270"/>
        <w:rPr>
          <w:i/>
          <w:sz w:val="20"/>
          <w:szCs w:val="20"/>
        </w:rPr>
      </w:pPr>
      <w:r w:rsidRPr="003750B8">
        <w:rPr>
          <w:b/>
          <w:bCs/>
          <w:i/>
          <w:sz w:val="20"/>
          <w:szCs w:val="20"/>
        </w:rPr>
        <w:lastRenderedPageBreak/>
        <w:t>Market</w:t>
      </w:r>
      <w:r w:rsidR="00D9721F" w:rsidRPr="003750B8">
        <w:rPr>
          <w:b/>
          <w:bCs/>
          <w:i/>
          <w:sz w:val="20"/>
          <w:szCs w:val="20"/>
        </w:rPr>
        <w:t xml:space="preserve"> Commentary</w:t>
      </w:r>
    </w:p>
    <w:p w:rsidR="00715BA4" w:rsidRPr="003750B8" w:rsidRDefault="00377658" w:rsidP="00715BA4">
      <w:pPr>
        <w:ind w:right="-270"/>
        <w:rPr>
          <w:sz w:val="20"/>
          <w:szCs w:val="20"/>
        </w:rPr>
      </w:pPr>
      <w:r w:rsidRPr="003750B8">
        <w:rPr>
          <w:sz w:val="20"/>
          <w:szCs w:val="20"/>
        </w:rPr>
        <w:t>We’re sure you’re well aware, but 2012 has started out with a bang</w:t>
      </w:r>
      <w:r w:rsidR="009A3BE0" w:rsidRPr="003750B8">
        <w:rPr>
          <w:sz w:val="20"/>
          <w:szCs w:val="20"/>
        </w:rPr>
        <w:t>.  As measured by the Russell G</w:t>
      </w:r>
      <w:r w:rsidR="00D93D65" w:rsidRPr="003750B8">
        <w:rPr>
          <w:sz w:val="20"/>
          <w:szCs w:val="20"/>
        </w:rPr>
        <w:t>lobal I</w:t>
      </w:r>
      <w:r w:rsidR="004543C6" w:rsidRPr="003750B8">
        <w:rPr>
          <w:sz w:val="20"/>
          <w:szCs w:val="20"/>
        </w:rPr>
        <w:t>ndexes</w:t>
      </w:r>
      <w:r w:rsidR="00440AFB" w:rsidRPr="003750B8">
        <w:rPr>
          <w:sz w:val="20"/>
          <w:szCs w:val="20"/>
          <w:vertAlign w:val="superscript"/>
        </w:rPr>
        <w:t>ii</w:t>
      </w:r>
      <w:r w:rsidR="009A3BE0" w:rsidRPr="003750B8">
        <w:rPr>
          <w:sz w:val="20"/>
          <w:szCs w:val="20"/>
        </w:rPr>
        <w:t>, large cap stocks</w:t>
      </w:r>
      <w:r w:rsidRPr="003750B8">
        <w:rPr>
          <w:sz w:val="20"/>
          <w:szCs w:val="20"/>
        </w:rPr>
        <w:t xml:space="preserve"> were up </w:t>
      </w:r>
      <w:r w:rsidR="00367E19" w:rsidRPr="003750B8">
        <w:rPr>
          <w:sz w:val="20"/>
          <w:szCs w:val="20"/>
        </w:rPr>
        <w:t>12.2</w:t>
      </w:r>
      <w:r w:rsidR="004543C6" w:rsidRPr="003750B8">
        <w:rPr>
          <w:sz w:val="20"/>
          <w:szCs w:val="20"/>
        </w:rPr>
        <w:t>%</w:t>
      </w:r>
      <w:r w:rsidR="009A3BE0" w:rsidRPr="003750B8">
        <w:rPr>
          <w:sz w:val="20"/>
          <w:szCs w:val="20"/>
        </w:rPr>
        <w:t xml:space="preserve"> </w:t>
      </w:r>
      <w:r w:rsidRPr="003750B8">
        <w:rPr>
          <w:sz w:val="20"/>
          <w:szCs w:val="20"/>
        </w:rPr>
        <w:t>in the first quarter</w:t>
      </w:r>
      <w:r w:rsidR="004543C6" w:rsidRPr="003750B8">
        <w:rPr>
          <w:sz w:val="20"/>
          <w:szCs w:val="20"/>
        </w:rPr>
        <w:t xml:space="preserve">, </w:t>
      </w:r>
      <w:r w:rsidRPr="003750B8">
        <w:rPr>
          <w:sz w:val="20"/>
          <w:szCs w:val="20"/>
        </w:rPr>
        <w:t>and s</w:t>
      </w:r>
      <w:r w:rsidR="009A3BE0" w:rsidRPr="003750B8">
        <w:rPr>
          <w:sz w:val="20"/>
          <w:szCs w:val="20"/>
        </w:rPr>
        <w:t xml:space="preserve">mall cap stocks were </w:t>
      </w:r>
      <w:r w:rsidRPr="003750B8">
        <w:rPr>
          <w:sz w:val="20"/>
          <w:szCs w:val="20"/>
        </w:rPr>
        <w:t xml:space="preserve">up </w:t>
      </w:r>
      <w:r w:rsidR="00367E19" w:rsidRPr="003750B8">
        <w:rPr>
          <w:sz w:val="20"/>
          <w:szCs w:val="20"/>
        </w:rPr>
        <w:t>13.8</w:t>
      </w:r>
      <w:r w:rsidR="009A3BE0" w:rsidRPr="003750B8">
        <w:rPr>
          <w:sz w:val="20"/>
          <w:szCs w:val="20"/>
        </w:rPr>
        <w:t>%</w:t>
      </w:r>
      <w:r w:rsidR="004543C6" w:rsidRPr="003750B8">
        <w:rPr>
          <w:sz w:val="20"/>
          <w:szCs w:val="20"/>
        </w:rPr>
        <w:t>.</w:t>
      </w:r>
      <w:r w:rsidR="009A3BE0" w:rsidRPr="003750B8">
        <w:rPr>
          <w:sz w:val="20"/>
          <w:szCs w:val="20"/>
        </w:rPr>
        <w:t xml:space="preserve">  </w:t>
      </w:r>
      <w:r w:rsidR="000B616F" w:rsidRPr="003750B8">
        <w:rPr>
          <w:sz w:val="20"/>
          <w:szCs w:val="20"/>
        </w:rPr>
        <w:t>In the small cap space, emerging markets, driven by Brazil, Taiwan and South Africa,</w:t>
      </w:r>
      <w:r w:rsidR="004543C6" w:rsidRPr="003750B8">
        <w:rPr>
          <w:sz w:val="20"/>
          <w:szCs w:val="20"/>
        </w:rPr>
        <w:t xml:space="preserve"> </w:t>
      </w:r>
      <w:r w:rsidRPr="003750B8">
        <w:rPr>
          <w:sz w:val="20"/>
          <w:szCs w:val="20"/>
        </w:rPr>
        <w:t xml:space="preserve">led the way, while </w:t>
      </w:r>
      <w:r w:rsidR="000B616F" w:rsidRPr="003750B8">
        <w:rPr>
          <w:sz w:val="20"/>
          <w:szCs w:val="20"/>
        </w:rPr>
        <w:t>Canada, the US and Japan</w:t>
      </w:r>
      <w:r w:rsidR="00753DEC" w:rsidRPr="003750B8">
        <w:rPr>
          <w:sz w:val="20"/>
          <w:szCs w:val="20"/>
        </w:rPr>
        <w:t xml:space="preserve"> lagged</w:t>
      </w:r>
      <w:r w:rsidR="000B616F" w:rsidRPr="003750B8">
        <w:rPr>
          <w:sz w:val="20"/>
          <w:szCs w:val="20"/>
        </w:rPr>
        <w:t>; developed Europe was very strong driven by the UK, France and Germany.</w:t>
      </w:r>
    </w:p>
    <w:p w:rsidR="00F02E9D" w:rsidRPr="003750B8" w:rsidRDefault="00F02E9D" w:rsidP="0045309E">
      <w:pPr>
        <w:ind w:right="-270"/>
        <w:rPr>
          <w:sz w:val="20"/>
          <w:szCs w:val="20"/>
        </w:rPr>
      </w:pPr>
    </w:p>
    <w:p w:rsidR="00154520" w:rsidRPr="003750B8" w:rsidRDefault="002A7E3E" w:rsidP="0045309E">
      <w:pPr>
        <w:ind w:right="-270"/>
        <w:rPr>
          <w:sz w:val="20"/>
          <w:szCs w:val="20"/>
        </w:rPr>
      </w:pPr>
      <w:r w:rsidRPr="003750B8">
        <w:rPr>
          <w:sz w:val="20"/>
          <w:szCs w:val="20"/>
        </w:rPr>
        <w:t xml:space="preserve">Although it’s a bit like </w:t>
      </w:r>
      <w:r w:rsidR="007F172D" w:rsidRPr="003750B8">
        <w:rPr>
          <w:sz w:val="20"/>
          <w:szCs w:val="20"/>
        </w:rPr>
        <w:t>claiming</w:t>
      </w:r>
      <w:r w:rsidRPr="003750B8">
        <w:rPr>
          <w:sz w:val="20"/>
          <w:szCs w:val="20"/>
        </w:rPr>
        <w:t xml:space="preserve"> </w:t>
      </w:r>
      <w:r w:rsidR="007F172D" w:rsidRPr="003750B8">
        <w:rPr>
          <w:sz w:val="20"/>
          <w:szCs w:val="20"/>
        </w:rPr>
        <w:t xml:space="preserve">to be </w:t>
      </w:r>
      <w:r w:rsidRPr="003750B8">
        <w:rPr>
          <w:sz w:val="20"/>
          <w:szCs w:val="20"/>
        </w:rPr>
        <w:t>in the front of the pack</w:t>
      </w:r>
      <w:r w:rsidR="007F172D" w:rsidRPr="003750B8">
        <w:rPr>
          <w:sz w:val="20"/>
          <w:szCs w:val="20"/>
        </w:rPr>
        <w:t xml:space="preserve"> after the first 100 yards of a 26-mile marathon</w:t>
      </w:r>
      <w:r w:rsidRPr="003750B8">
        <w:rPr>
          <w:sz w:val="20"/>
          <w:szCs w:val="20"/>
        </w:rPr>
        <w:t>, w</w:t>
      </w:r>
      <w:r w:rsidR="00715BA4" w:rsidRPr="003750B8">
        <w:rPr>
          <w:sz w:val="20"/>
          <w:szCs w:val="20"/>
        </w:rPr>
        <w:t>e’re quite pleased to report that the Gran</w:t>
      </w:r>
      <w:r w:rsidR="00AB36FF" w:rsidRPr="003750B8">
        <w:rPr>
          <w:sz w:val="20"/>
          <w:szCs w:val="20"/>
        </w:rPr>
        <w:t>deur Peak funds performed well</w:t>
      </w:r>
      <w:r w:rsidR="00715BA4" w:rsidRPr="003750B8">
        <w:rPr>
          <w:sz w:val="20"/>
          <w:szCs w:val="20"/>
        </w:rPr>
        <w:t xml:space="preserve"> in the quarter.  </w:t>
      </w:r>
      <w:r w:rsidR="00633F54" w:rsidRPr="003750B8">
        <w:rPr>
          <w:sz w:val="20"/>
          <w:szCs w:val="20"/>
        </w:rPr>
        <w:t>You can see from the returns on the first page that we outperforme</w:t>
      </w:r>
      <w:r w:rsidRPr="003750B8">
        <w:rPr>
          <w:sz w:val="20"/>
          <w:szCs w:val="20"/>
        </w:rPr>
        <w:t>d our benchmarks quite nicely—and this e</w:t>
      </w:r>
      <w:r w:rsidR="00633F54" w:rsidRPr="003750B8">
        <w:rPr>
          <w:sz w:val="20"/>
          <w:szCs w:val="20"/>
        </w:rPr>
        <w:t xml:space="preserve">ven though we had a slight cash drag from the large inflows we had in the quarter.  </w:t>
      </w:r>
      <w:r w:rsidRPr="003750B8">
        <w:rPr>
          <w:sz w:val="20"/>
          <w:szCs w:val="20"/>
        </w:rPr>
        <w:t>We get into more detail regarding our performance for Q1 later on, but the Cliff Notes version is as follows:</w:t>
      </w:r>
    </w:p>
    <w:p w:rsidR="00154520" w:rsidRPr="003750B8" w:rsidRDefault="00154520" w:rsidP="0045309E">
      <w:pPr>
        <w:ind w:right="-270"/>
        <w:rPr>
          <w:sz w:val="20"/>
          <w:szCs w:val="20"/>
        </w:rPr>
      </w:pPr>
    </w:p>
    <w:p w:rsidR="009E37AC" w:rsidRPr="003750B8" w:rsidRDefault="00154520" w:rsidP="0045309E">
      <w:pPr>
        <w:ind w:right="-270"/>
        <w:rPr>
          <w:sz w:val="20"/>
          <w:szCs w:val="20"/>
        </w:rPr>
      </w:pPr>
      <w:r w:rsidRPr="003750B8">
        <w:rPr>
          <w:sz w:val="20"/>
          <w:szCs w:val="20"/>
        </w:rPr>
        <w:t xml:space="preserve">Emerging markets worked for us in the quarter because we were </w:t>
      </w:r>
      <w:r w:rsidR="000B616F" w:rsidRPr="003750B8">
        <w:rPr>
          <w:sz w:val="20"/>
          <w:szCs w:val="20"/>
        </w:rPr>
        <w:t xml:space="preserve">slightly overweight and our </w:t>
      </w:r>
      <w:r w:rsidR="007F172D" w:rsidRPr="003750B8">
        <w:rPr>
          <w:sz w:val="20"/>
          <w:szCs w:val="20"/>
        </w:rPr>
        <w:t xml:space="preserve">particular </w:t>
      </w:r>
      <w:r w:rsidR="000B616F" w:rsidRPr="003750B8">
        <w:rPr>
          <w:sz w:val="20"/>
          <w:szCs w:val="20"/>
        </w:rPr>
        <w:t>stock</w:t>
      </w:r>
      <w:r w:rsidR="007F172D" w:rsidRPr="003750B8">
        <w:rPr>
          <w:sz w:val="20"/>
          <w:szCs w:val="20"/>
        </w:rPr>
        <w:t xml:space="preserve">s </w:t>
      </w:r>
      <w:r w:rsidR="000B616F" w:rsidRPr="003750B8">
        <w:rPr>
          <w:sz w:val="20"/>
          <w:szCs w:val="20"/>
        </w:rPr>
        <w:t>mat</w:t>
      </w:r>
      <w:r w:rsidRPr="003750B8">
        <w:rPr>
          <w:sz w:val="20"/>
          <w:szCs w:val="20"/>
        </w:rPr>
        <w:t>ched the benchmark</w:t>
      </w:r>
      <w:r w:rsidR="007F172D" w:rsidRPr="003750B8">
        <w:rPr>
          <w:sz w:val="20"/>
          <w:szCs w:val="20"/>
        </w:rPr>
        <w:t>’s</w:t>
      </w:r>
      <w:r w:rsidRPr="003750B8">
        <w:rPr>
          <w:sz w:val="20"/>
          <w:szCs w:val="20"/>
        </w:rPr>
        <w:t xml:space="preserve"> performance.  We had a big underweight to Japan, but our stock selection w</w:t>
      </w:r>
      <w:r w:rsidR="002A7E3E" w:rsidRPr="003750B8">
        <w:rPr>
          <w:sz w:val="20"/>
          <w:szCs w:val="20"/>
        </w:rPr>
        <w:t>as great and we had strong outperformance</w:t>
      </w:r>
      <w:r w:rsidRPr="003750B8">
        <w:rPr>
          <w:sz w:val="20"/>
          <w:szCs w:val="20"/>
        </w:rPr>
        <w:t>.  We were underweight the US</w:t>
      </w:r>
      <w:r w:rsidR="009E37AC" w:rsidRPr="003750B8">
        <w:rPr>
          <w:sz w:val="20"/>
          <w:szCs w:val="20"/>
        </w:rPr>
        <w:t xml:space="preserve"> and outperformed a bit</w:t>
      </w:r>
      <w:r w:rsidRPr="003750B8">
        <w:rPr>
          <w:sz w:val="20"/>
          <w:szCs w:val="20"/>
        </w:rPr>
        <w:t xml:space="preserve"> and </w:t>
      </w:r>
      <w:r w:rsidR="007F172D" w:rsidRPr="003750B8">
        <w:rPr>
          <w:sz w:val="20"/>
          <w:szCs w:val="20"/>
        </w:rPr>
        <w:t xml:space="preserve">we were </w:t>
      </w:r>
      <w:r w:rsidRPr="003750B8">
        <w:rPr>
          <w:sz w:val="20"/>
          <w:szCs w:val="20"/>
        </w:rPr>
        <w:t>slightly overweight in Developed Europe and in Belgium, Germany, Sweden, the UK and the Netherlands</w:t>
      </w:r>
      <w:r w:rsidR="002A7E3E" w:rsidRPr="003750B8">
        <w:rPr>
          <w:sz w:val="20"/>
          <w:szCs w:val="20"/>
        </w:rPr>
        <w:t xml:space="preserve"> we outperformed </w:t>
      </w:r>
      <w:r w:rsidR="007F172D" w:rsidRPr="003750B8">
        <w:rPr>
          <w:sz w:val="20"/>
          <w:szCs w:val="20"/>
        </w:rPr>
        <w:t>well</w:t>
      </w:r>
      <w:r w:rsidRPr="003750B8">
        <w:rPr>
          <w:sz w:val="20"/>
          <w:szCs w:val="20"/>
        </w:rPr>
        <w:t xml:space="preserve">.  We also outperformed big in Canada, Australia and Israel.  </w:t>
      </w:r>
    </w:p>
    <w:p w:rsidR="009E37AC" w:rsidRPr="003750B8" w:rsidRDefault="009E37AC" w:rsidP="0045309E">
      <w:pPr>
        <w:ind w:right="-270"/>
        <w:rPr>
          <w:sz w:val="20"/>
          <w:szCs w:val="20"/>
        </w:rPr>
      </w:pPr>
    </w:p>
    <w:p w:rsidR="009E37AC" w:rsidRPr="003750B8" w:rsidRDefault="00715BA4" w:rsidP="0045309E">
      <w:pPr>
        <w:ind w:right="-270"/>
        <w:rPr>
          <w:sz w:val="20"/>
          <w:szCs w:val="20"/>
        </w:rPr>
      </w:pPr>
      <w:r w:rsidRPr="003750B8">
        <w:rPr>
          <w:sz w:val="20"/>
          <w:szCs w:val="20"/>
        </w:rPr>
        <w:t>We mentioned in our last letter that we had been disappointed with our performance in the fourth quarter of 2011 (our first quarter in business), but in reality</w:t>
      </w:r>
      <w:r w:rsidR="00D52492" w:rsidRPr="003750B8">
        <w:rPr>
          <w:sz w:val="20"/>
          <w:szCs w:val="20"/>
        </w:rPr>
        <w:t xml:space="preserve"> </w:t>
      </w:r>
      <w:r w:rsidR="00633F54" w:rsidRPr="003750B8">
        <w:rPr>
          <w:sz w:val="20"/>
          <w:szCs w:val="20"/>
        </w:rPr>
        <w:t>any given</w:t>
      </w:r>
      <w:r w:rsidR="00D52492" w:rsidRPr="003750B8">
        <w:rPr>
          <w:sz w:val="20"/>
          <w:szCs w:val="20"/>
        </w:rPr>
        <w:t xml:space="preserve"> quarter’s performance is being harvested from the seeds that were planted a long time ago.</w:t>
      </w:r>
      <w:r w:rsidR="009E37AC" w:rsidRPr="003750B8">
        <w:rPr>
          <w:sz w:val="20"/>
          <w:szCs w:val="20"/>
        </w:rPr>
        <w:t xml:space="preserve">  </w:t>
      </w:r>
      <w:r w:rsidR="002A3453" w:rsidRPr="003750B8">
        <w:rPr>
          <w:sz w:val="20"/>
          <w:szCs w:val="20"/>
        </w:rPr>
        <w:t>And with that in mind</w:t>
      </w:r>
      <w:r w:rsidR="000818FF" w:rsidRPr="003750B8">
        <w:rPr>
          <w:sz w:val="20"/>
          <w:szCs w:val="20"/>
        </w:rPr>
        <w:t xml:space="preserve"> we think that 2011 was a</w:t>
      </w:r>
      <w:r w:rsidR="002A3453" w:rsidRPr="003750B8">
        <w:rPr>
          <w:sz w:val="20"/>
          <w:szCs w:val="20"/>
        </w:rPr>
        <w:t xml:space="preserve"> good year </w:t>
      </w:r>
      <w:r w:rsidR="003B552F" w:rsidRPr="003750B8">
        <w:rPr>
          <w:sz w:val="20"/>
          <w:szCs w:val="20"/>
        </w:rPr>
        <w:t xml:space="preserve">for sowing seeds.  </w:t>
      </w:r>
    </w:p>
    <w:p w:rsidR="009E37AC" w:rsidRPr="003750B8" w:rsidRDefault="009E37AC" w:rsidP="0045309E">
      <w:pPr>
        <w:ind w:right="-270"/>
        <w:rPr>
          <w:sz w:val="20"/>
          <w:szCs w:val="20"/>
        </w:rPr>
      </w:pPr>
    </w:p>
    <w:p w:rsidR="00262B0D" w:rsidRPr="003750B8" w:rsidRDefault="003B552F" w:rsidP="0045309E">
      <w:pPr>
        <w:ind w:right="-270"/>
        <w:rPr>
          <w:sz w:val="20"/>
          <w:szCs w:val="20"/>
        </w:rPr>
      </w:pPr>
      <w:r w:rsidRPr="003750B8">
        <w:rPr>
          <w:sz w:val="20"/>
          <w:szCs w:val="20"/>
        </w:rPr>
        <w:t>Volatilit</w:t>
      </w:r>
      <w:r w:rsidR="00031FC5" w:rsidRPr="003750B8">
        <w:rPr>
          <w:sz w:val="20"/>
          <w:szCs w:val="20"/>
        </w:rPr>
        <w:t>y in stock prices is a two-</w:t>
      </w:r>
      <w:r w:rsidR="000818FF" w:rsidRPr="003750B8">
        <w:rPr>
          <w:sz w:val="20"/>
          <w:szCs w:val="20"/>
        </w:rPr>
        <w:t>edged sword:</w:t>
      </w:r>
      <w:r w:rsidRPr="003750B8">
        <w:rPr>
          <w:sz w:val="20"/>
          <w:szCs w:val="20"/>
        </w:rPr>
        <w:t xml:space="preserve"> it causes stress to market participants who would rather see the value of their investments behave more consistently (except</w:t>
      </w:r>
      <w:r w:rsidR="000818FF" w:rsidRPr="003750B8">
        <w:rPr>
          <w:sz w:val="20"/>
          <w:szCs w:val="20"/>
        </w:rPr>
        <w:t>,</w:t>
      </w:r>
      <w:r w:rsidRPr="003750B8">
        <w:rPr>
          <w:sz w:val="20"/>
          <w:szCs w:val="20"/>
        </w:rPr>
        <w:t xml:space="preserve"> of course</w:t>
      </w:r>
      <w:r w:rsidR="000818FF" w:rsidRPr="003750B8">
        <w:rPr>
          <w:sz w:val="20"/>
          <w:szCs w:val="20"/>
        </w:rPr>
        <w:t>,</w:t>
      </w:r>
      <w:r w:rsidRPr="003750B8">
        <w:rPr>
          <w:sz w:val="20"/>
          <w:szCs w:val="20"/>
        </w:rPr>
        <w:t xml:space="preserve"> where it concerns upside volatility which is always universally accepted), but it also creates good buying opportunities.</w:t>
      </w:r>
      <w:r w:rsidR="00521C27" w:rsidRPr="003750B8">
        <w:rPr>
          <w:sz w:val="20"/>
          <w:szCs w:val="20"/>
        </w:rPr>
        <w:t xml:space="preserve">  Greece and its effect on the Euro was a pretty big topic in the second half of 2011 and then popped up </w:t>
      </w:r>
      <w:r w:rsidR="00633F54" w:rsidRPr="003750B8">
        <w:rPr>
          <w:sz w:val="20"/>
          <w:szCs w:val="20"/>
        </w:rPr>
        <w:t xml:space="preserve">again in the news during March </w:t>
      </w:r>
      <w:r w:rsidR="00521C27" w:rsidRPr="003750B8">
        <w:rPr>
          <w:sz w:val="20"/>
          <w:szCs w:val="20"/>
        </w:rPr>
        <w:t>2012, cau</w:t>
      </w:r>
      <w:r w:rsidR="00633F54" w:rsidRPr="003750B8">
        <w:rPr>
          <w:sz w:val="20"/>
          <w:szCs w:val="20"/>
        </w:rPr>
        <w:t>sing a minor sell off in stocks.  B</w:t>
      </w:r>
      <w:r w:rsidR="00521C27" w:rsidRPr="003750B8">
        <w:rPr>
          <w:sz w:val="20"/>
          <w:szCs w:val="20"/>
        </w:rPr>
        <w:t>ut guess what?  The inevit</w:t>
      </w:r>
      <w:r w:rsidR="00633F54" w:rsidRPr="003750B8">
        <w:rPr>
          <w:sz w:val="20"/>
          <w:szCs w:val="20"/>
        </w:rPr>
        <w:t>able default happened</w:t>
      </w:r>
      <w:r w:rsidR="000818FF" w:rsidRPr="003750B8">
        <w:rPr>
          <w:sz w:val="20"/>
          <w:szCs w:val="20"/>
        </w:rPr>
        <w:t>,</w:t>
      </w:r>
      <w:r w:rsidR="00633F54" w:rsidRPr="003750B8">
        <w:rPr>
          <w:sz w:val="20"/>
          <w:szCs w:val="20"/>
        </w:rPr>
        <w:t xml:space="preserve"> and </w:t>
      </w:r>
      <w:r w:rsidR="00521C27" w:rsidRPr="003750B8">
        <w:rPr>
          <w:sz w:val="20"/>
          <w:szCs w:val="20"/>
        </w:rPr>
        <w:t>so far it</w:t>
      </w:r>
      <w:r w:rsidR="00633F54" w:rsidRPr="003750B8">
        <w:rPr>
          <w:sz w:val="20"/>
          <w:szCs w:val="20"/>
        </w:rPr>
        <w:t>’s be</w:t>
      </w:r>
      <w:r w:rsidR="00AB36FF" w:rsidRPr="003750B8">
        <w:rPr>
          <w:sz w:val="20"/>
          <w:szCs w:val="20"/>
        </w:rPr>
        <w:t xml:space="preserve">en pretty much a non-event; </w:t>
      </w:r>
      <w:r w:rsidR="00521C27" w:rsidRPr="003750B8">
        <w:rPr>
          <w:sz w:val="20"/>
          <w:szCs w:val="20"/>
        </w:rPr>
        <w:t xml:space="preserve">the market </w:t>
      </w:r>
      <w:r w:rsidR="00AB210B" w:rsidRPr="003750B8">
        <w:rPr>
          <w:sz w:val="20"/>
          <w:szCs w:val="20"/>
        </w:rPr>
        <w:t xml:space="preserve">had already </w:t>
      </w:r>
      <w:r w:rsidR="00521C27" w:rsidRPr="003750B8">
        <w:rPr>
          <w:sz w:val="20"/>
          <w:szCs w:val="20"/>
        </w:rPr>
        <w:t>priced it in about 6 months ago.</w:t>
      </w:r>
      <w:r w:rsidR="009E37AC" w:rsidRPr="003750B8">
        <w:rPr>
          <w:sz w:val="20"/>
          <w:szCs w:val="20"/>
        </w:rPr>
        <w:t xml:space="preserve">  That said, we’re not sure we’re out of the woods on Europe yet and now it seems that Spain is beginning to pop up in a lot of conversations.</w:t>
      </w:r>
    </w:p>
    <w:p w:rsidR="00521C27" w:rsidRPr="003750B8" w:rsidRDefault="00521C27" w:rsidP="0045309E">
      <w:pPr>
        <w:ind w:right="-270"/>
        <w:rPr>
          <w:sz w:val="20"/>
          <w:szCs w:val="20"/>
        </w:rPr>
      </w:pPr>
    </w:p>
    <w:p w:rsidR="00521C27" w:rsidRPr="003750B8" w:rsidRDefault="00521C27" w:rsidP="0045309E">
      <w:pPr>
        <w:ind w:right="-270"/>
        <w:rPr>
          <w:sz w:val="20"/>
          <w:szCs w:val="20"/>
        </w:rPr>
      </w:pPr>
      <w:r w:rsidRPr="003750B8">
        <w:rPr>
          <w:sz w:val="20"/>
          <w:szCs w:val="20"/>
        </w:rPr>
        <w:t>According to the International Swaps and Derivatives Association (ISDA), a</w:t>
      </w:r>
      <w:r w:rsidR="000818FF" w:rsidRPr="003750B8">
        <w:rPr>
          <w:sz w:val="20"/>
          <w:szCs w:val="20"/>
        </w:rPr>
        <w:t xml:space="preserve"> little over $3 b</w:t>
      </w:r>
      <w:r w:rsidRPr="003750B8">
        <w:rPr>
          <w:sz w:val="20"/>
          <w:szCs w:val="20"/>
        </w:rPr>
        <w:t>illion of Greece’s debt is covered by Credit Default Swaps (a type of insurance contract commonly referred to as “CDS”)</w:t>
      </w:r>
      <w:r w:rsidR="00633F54" w:rsidRPr="003750B8">
        <w:rPr>
          <w:sz w:val="20"/>
          <w:szCs w:val="20"/>
        </w:rPr>
        <w:t xml:space="preserve"> but</w:t>
      </w:r>
      <w:r w:rsidR="00AB210B" w:rsidRPr="003750B8">
        <w:rPr>
          <w:sz w:val="20"/>
          <w:szCs w:val="20"/>
        </w:rPr>
        <w:t xml:space="preserve"> o</w:t>
      </w:r>
      <w:r w:rsidR="00633F54" w:rsidRPr="003750B8">
        <w:rPr>
          <w:sz w:val="20"/>
          <w:szCs w:val="20"/>
        </w:rPr>
        <w:t>ver the past year</w:t>
      </w:r>
      <w:r w:rsidRPr="003750B8">
        <w:rPr>
          <w:sz w:val="20"/>
          <w:szCs w:val="20"/>
        </w:rPr>
        <w:t xml:space="preserve"> the amount of Greek debt covered by </w:t>
      </w:r>
      <w:r w:rsidR="00633F54" w:rsidRPr="003750B8">
        <w:rPr>
          <w:sz w:val="20"/>
          <w:szCs w:val="20"/>
        </w:rPr>
        <w:t>CDS had</w:t>
      </w:r>
      <w:r w:rsidRPr="003750B8">
        <w:rPr>
          <w:sz w:val="20"/>
          <w:szCs w:val="20"/>
        </w:rPr>
        <w:t xml:space="preserve"> been reduced by half.  </w:t>
      </w:r>
      <w:r w:rsidR="00AB210B" w:rsidRPr="003750B8">
        <w:rPr>
          <w:sz w:val="20"/>
          <w:szCs w:val="20"/>
        </w:rPr>
        <w:t xml:space="preserve">This long lead-time had allowed the market to digest and price in the eventuality of the default.  </w:t>
      </w:r>
      <w:r w:rsidRPr="003750B8">
        <w:rPr>
          <w:sz w:val="20"/>
          <w:szCs w:val="20"/>
        </w:rPr>
        <w:t xml:space="preserve">In the case of the Lehman </w:t>
      </w:r>
      <w:r w:rsidR="00AB210B" w:rsidRPr="003750B8">
        <w:rPr>
          <w:sz w:val="20"/>
          <w:szCs w:val="20"/>
        </w:rPr>
        <w:t>Brothers default (which was over $5</w:t>
      </w:r>
      <w:r w:rsidRPr="003750B8">
        <w:rPr>
          <w:sz w:val="20"/>
          <w:szCs w:val="20"/>
        </w:rPr>
        <w:t xml:space="preserve"> billion</w:t>
      </w:r>
      <w:r w:rsidR="00AB210B" w:rsidRPr="003750B8">
        <w:rPr>
          <w:sz w:val="20"/>
          <w:szCs w:val="20"/>
        </w:rPr>
        <w:t>)</w:t>
      </w:r>
      <w:r w:rsidR="000818FF" w:rsidRPr="003750B8">
        <w:rPr>
          <w:sz w:val="20"/>
          <w:szCs w:val="20"/>
        </w:rPr>
        <w:t>,</w:t>
      </w:r>
      <w:r w:rsidR="00AB210B" w:rsidRPr="003750B8">
        <w:rPr>
          <w:sz w:val="20"/>
          <w:szCs w:val="20"/>
        </w:rPr>
        <w:t xml:space="preserve"> </w:t>
      </w:r>
      <w:r w:rsidRPr="003750B8">
        <w:rPr>
          <w:sz w:val="20"/>
          <w:szCs w:val="20"/>
        </w:rPr>
        <w:t xml:space="preserve">there was almost no </w:t>
      </w:r>
      <w:r w:rsidR="00364991" w:rsidRPr="003750B8">
        <w:rPr>
          <w:sz w:val="20"/>
          <w:szCs w:val="20"/>
        </w:rPr>
        <w:t>lead-time</w:t>
      </w:r>
      <w:r w:rsidRPr="003750B8">
        <w:rPr>
          <w:sz w:val="20"/>
          <w:szCs w:val="20"/>
        </w:rPr>
        <w:t xml:space="preserve"> between the emergence of the Lehman issue and its bankruptcy filing.</w:t>
      </w:r>
    </w:p>
    <w:p w:rsidR="00BA6445" w:rsidRPr="003750B8" w:rsidRDefault="00BA6445" w:rsidP="00031FC5">
      <w:pPr>
        <w:ind w:right="-270"/>
        <w:rPr>
          <w:sz w:val="20"/>
          <w:szCs w:val="20"/>
        </w:rPr>
      </w:pPr>
    </w:p>
    <w:p w:rsidR="006209AC" w:rsidRPr="003750B8" w:rsidRDefault="00633F54" w:rsidP="00114B36">
      <w:pPr>
        <w:ind w:right="-270"/>
        <w:rPr>
          <w:sz w:val="20"/>
          <w:szCs w:val="20"/>
        </w:rPr>
      </w:pPr>
      <w:r w:rsidRPr="003750B8">
        <w:rPr>
          <w:sz w:val="20"/>
          <w:szCs w:val="20"/>
        </w:rPr>
        <w:t>A</w:t>
      </w:r>
      <w:r w:rsidR="00AB210B" w:rsidRPr="003750B8">
        <w:rPr>
          <w:sz w:val="20"/>
          <w:szCs w:val="20"/>
        </w:rPr>
        <w:t>s long as we’re on the topic of risk, we’d like to weigh in with a few thoughts.</w:t>
      </w:r>
      <w:r w:rsidR="00031FC5" w:rsidRPr="003750B8">
        <w:rPr>
          <w:sz w:val="20"/>
          <w:szCs w:val="20"/>
        </w:rPr>
        <w:t xml:space="preserve">  Risk gets defined in ma</w:t>
      </w:r>
      <w:r w:rsidR="00765F2F" w:rsidRPr="003750B8">
        <w:rPr>
          <w:sz w:val="20"/>
          <w:szCs w:val="20"/>
        </w:rPr>
        <w:t>n</w:t>
      </w:r>
      <w:r w:rsidR="00031FC5" w:rsidRPr="003750B8">
        <w:rPr>
          <w:sz w:val="20"/>
          <w:szCs w:val="20"/>
        </w:rPr>
        <w:t xml:space="preserve">y different ways, but typically when people discuss risk they are referring to </w:t>
      </w:r>
      <w:r w:rsidR="00AB210B" w:rsidRPr="003750B8">
        <w:rPr>
          <w:sz w:val="20"/>
          <w:szCs w:val="20"/>
        </w:rPr>
        <w:t xml:space="preserve">some sort of mathematical calculation dealing with volatility, whether it’s </w:t>
      </w:r>
      <w:r w:rsidR="00BA6445" w:rsidRPr="003750B8">
        <w:rPr>
          <w:sz w:val="20"/>
          <w:szCs w:val="20"/>
        </w:rPr>
        <w:t>standard deviation</w:t>
      </w:r>
      <w:r w:rsidR="00BA6445" w:rsidRPr="003750B8">
        <w:rPr>
          <w:rStyle w:val="FootnoteReference"/>
          <w:sz w:val="20"/>
          <w:szCs w:val="20"/>
        </w:rPr>
        <w:footnoteReference w:id="2"/>
      </w:r>
      <w:r w:rsidR="00BA6445" w:rsidRPr="003750B8">
        <w:rPr>
          <w:sz w:val="20"/>
          <w:szCs w:val="20"/>
        </w:rPr>
        <w:t xml:space="preserve">, </w:t>
      </w:r>
      <w:r w:rsidR="00AB210B" w:rsidRPr="003750B8">
        <w:rPr>
          <w:sz w:val="20"/>
          <w:szCs w:val="20"/>
        </w:rPr>
        <w:t>beta</w:t>
      </w:r>
      <w:r w:rsidR="00AB210B" w:rsidRPr="003750B8">
        <w:rPr>
          <w:rStyle w:val="FootnoteReference"/>
          <w:sz w:val="20"/>
          <w:szCs w:val="20"/>
        </w:rPr>
        <w:footnoteReference w:id="3"/>
      </w:r>
      <w:r w:rsidR="00AB210B" w:rsidRPr="003750B8">
        <w:rPr>
          <w:sz w:val="20"/>
          <w:szCs w:val="20"/>
        </w:rPr>
        <w:t xml:space="preserve"> or Value-at-Risk (VaR</w:t>
      </w:r>
      <w:r w:rsidR="00AB210B" w:rsidRPr="003750B8">
        <w:rPr>
          <w:rStyle w:val="FootnoteReference"/>
          <w:sz w:val="20"/>
          <w:szCs w:val="20"/>
        </w:rPr>
        <w:footnoteReference w:id="4"/>
      </w:r>
      <w:r w:rsidR="00AB210B" w:rsidRPr="003750B8">
        <w:rPr>
          <w:sz w:val="20"/>
          <w:szCs w:val="20"/>
        </w:rPr>
        <w:t>)</w:t>
      </w:r>
      <w:r w:rsidR="00031FC5" w:rsidRPr="003750B8">
        <w:rPr>
          <w:sz w:val="20"/>
          <w:szCs w:val="20"/>
        </w:rPr>
        <w:t xml:space="preserve">.  </w:t>
      </w:r>
      <w:r w:rsidR="003919FF" w:rsidRPr="003750B8">
        <w:rPr>
          <w:sz w:val="20"/>
          <w:szCs w:val="20"/>
        </w:rPr>
        <w:t xml:space="preserve">In our last letter we talked about how volatility had picked up in the second half of 2011 and so “risky” assets had underperformed.  We have a big problem with </w:t>
      </w:r>
      <w:r w:rsidRPr="003750B8">
        <w:rPr>
          <w:sz w:val="20"/>
          <w:szCs w:val="20"/>
        </w:rPr>
        <w:t>the</w:t>
      </w:r>
      <w:r w:rsidR="00364991" w:rsidRPr="003750B8">
        <w:rPr>
          <w:sz w:val="20"/>
          <w:szCs w:val="20"/>
        </w:rPr>
        <w:t xml:space="preserve"> concept that risk = volatility.  </w:t>
      </w:r>
      <w:r w:rsidR="003919FF" w:rsidRPr="003750B8">
        <w:rPr>
          <w:sz w:val="20"/>
          <w:szCs w:val="20"/>
        </w:rPr>
        <w:t>For us, true investment risk has always b</w:t>
      </w:r>
      <w:r w:rsidR="00364991" w:rsidRPr="003750B8">
        <w:rPr>
          <w:sz w:val="20"/>
          <w:szCs w:val="20"/>
        </w:rPr>
        <w:t>ee</w:t>
      </w:r>
      <w:r w:rsidR="00AB36FF" w:rsidRPr="003750B8">
        <w:rPr>
          <w:sz w:val="20"/>
          <w:szCs w:val="20"/>
        </w:rPr>
        <w:t>n a permanent loss of capital.  W</w:t>
      </w:r>
      <w:r w:rsidR="00364991" w:rsidRPr="003750B8">
        <w:rPr>
          <w:sz w:val="20"/>
          <w:szCs w:val="20"/>
        </w:rPr>
        <w:t xml:space="preserve">hat we’re most worried about is </w:t>
      </w:r>
      <w:r w:rsidR="003919FF" w:rsidRPr="003750B8">
        <w:rPr>
          <w:sz w:val="20"/>
          <w:szCs w:val="20"/>
        </w:rPr>
        <w:t>losing our cli</w:t>
      </w:r>
      <w:r w:rsidR="00364991" w:rsidRPr="003750B8">
        <w:rPr>
          <w:sz w:val="20"/>
          <w:szCs w:val="20"/>
        </w:rPr>
        <w:t>ents</w:t>
      </w:r>
      <w:r w:rsidRPr="003750B8">
        <w:rPr>
          <w:sz w:val="20"/>
          <w:szCs w:val="20"/>
        </w:rPr>
        <w:t>’</w:t>
      </w:r>
      <w:r w:rsidR="00364991" w:rsidRPr="003750B8">
        <w:rPr>
          <w:sz w:val="20"/>
          <w:szCs w:val="20"/>
        </w:rPr>
        <w:t xml:space="preserve"> money on a permanent, gone-</w:t>
      </w:r>
      <w:r w:rsidR="003919FF" w:rsidRPr="003750B8">
        <w:rPr>
          <w:sz w:val="20"/>
          <w:szCs w:val="20"/>
        </w:rPr>
        <w:t xml:space="preserve">forever basis.  </w:t>
      </w:r>
    </w:p>
    <w:p w:rsidR="006209AC" w:rsidRPr="003750B8" w:rsidRDefault="006209AC" w:rsidP="00114B36">
      <w:pPr>
        <w:ind w:right="-270"/>
        <w:rPr>
          <w:sz w:val="20"/>
          <w:szCs w:val="20"/>
        </w:rPr>
      </w:pPr>
    </w:p>
    <w:p w:rsidR="0065443E" w:rsidRPr="003750B8" w:rsidRDefault="003919FF" w:rsidP="00114B36">
      <w:pPr>
        <w:ind w:right="-270"/>
        <w:rPr>
          <w:sz w:val="20"/>
          <w:szCs w:val="20"/>
        </w:rPr>
      </w:pPr>
      <w:r w:rsidRPr="003750B8">
        <w:rPr>
          <w:sz w:val="20"/>
          <w:szCs w:val="20"/>
        </w:rPr>
        <w:t>In his 2011 Annual Letter to shareholders, Warren Buffett (what’s a quarterly</w:t>
      </w:r>
      <w:r w:rsidR="00114B36" w:rsidRPr="003750B8">
        <w:rPr>
          <w:sz w:val="20"/>
          <w:szCs w:val="20"/>
        </w:rPr>
        <w:t xml:space="preserve"> </w:t>
      </w:r>
      <w:r w:rsidRPr="003750B8">
        <w:rPr>
          <w:sz w:val="20"/>
          <w:szCs w:val="20"/>
        </w:rPr>
        <w:t>investment letter without a reference to Buffett</w:t>
      </w:r>
      <w:r w:rsidR="00874105" w:rsidRPr="003750B8">
        <w:rPr>
          <w:sz w:val="20"/>
          <w:szCs w:val="20"/>
        </w:rPr>
        <w:t>,</w:t>
      </w:r>
      <w:r w:rsidRPr="003750B8">
        <w:rPr>
          <w:sz w:val="20"/>
          <w:szCs w:val="20"/>
        </w:rPr>
        <w:t xml:space="preserve"> right?) brought up an even finer definition of risk.  He </w:t>
      </w:r>
      <w:r w:rsidR="00633F54" w:rsidRPr="003750B8">
        <w:rPr>
          <w:sz w:val="20"/>
          <w:szCs w:val="20"/>
        </w:rPr>
        <w:t>defines</w:t>
      </w:r>
      <w:r w:rsidR="00114B36" w:rsidRPr="003750B8">
        <w:rPr>
          <w:sz w:val="20"/>
          <w:szCs w:val="20"/>
        </w:rPr>
        <w:t xml:space="preserve"> risk as</w:t>
      </w:r>
      <w:r w:rsidRPr="003750B8">
        <w:rPr>
          <w:sz w:val="20"/>
          <w:szCs w:val="20"/>
        </w:rPr>
        <w:t xml:space="preserve"> “</w:t>
      </w:r>
      <w:r w:rsidR="00114B36" w:rsidRPr="003750B8">
        <w:rPr>
          <w:sz w:val="20"/>
          <w:szCs w:val="20"/>
        </w:rPr>
        <w:t xml:space="preserve">the reasoned probability of [an] </w:t>
      </w:r>
      <w:r w:rsidR="00114B36" w:rsidRPr="003750B8">
        <w:rPr>
          <w:sz w:val="20"/>
          <w:szCs w:val="20"/>
        </w:rPr>
        <w:lastRenderedPageBreak/>
        <w:t>investment causing its owner a loss of purchasing-power over his contemplated holding period.</w:t>
      </w:r>
      <w:r w:rsidR="00AB36FF" w:rsidRPr="003750B8">
        <w:rPr>
          <w:sz w:val="20"/>
          <w:szCs w:val="20"/>
        </w:rPr>
        <w:t>”  He goes on to say that</w:t>
      </w:r>
      <w:r w:rsidR="00114B36" w:rsidRPr="003750B8">
        <w:rPr>
          <w:sz w:val="20"/>
          <w:szCs w:val="20"/>
        </w:rPr>
        <w:t xml:space="preserve"> </w:t>
      </w:r>
      <w:r w:rsidR="00633F54" w:rsidRPr="003750B8">
        <w:rPr>
          <w:sz w:val="20"/>
          <w:szCs w:val="20"/>
        </w:rPr>
        <w:t>“</w:t>
      </w:r>
      <w:r w:rsidR="00874105" w:rsidRPr="003750B8">
        <w:rPr>
          <w:sz w:val="20"/>
          <w:szCs w:val="20"/>
        </w:rPr>
        <w:t>a</w:t>
      </w:r>
      <w:r w:rsidR="00114B36" w:rsidRPr="003750B8">
        <w:rPr>
          <w:sz w:val="20"/>
          <w:szCs w:val="20"/>
        </w:rPr>
        <w:t>ssets can fluctuate greatly in price and not be risky as long as they are reasonably certain to deliver increased purchasing power over their holding period.”</w:t>
      </w:r>
      <w:r w:rsidR="00364991" w:rsidRPr="003750B8">
        <w:rPr>
          <w:sz w:val="20"/>
          <w:szCs w:val="20"/>
        </w:rPr>
        <w:t xml:space="preserve">  In other words, it’s not en</w:t>
      </w:r>
      <w:r w:rsidR="00F121BD" w:rsidRPr="003750B8">
        <w:rPr>
          <w:sz w:val="20"/>
          <w:szCs w:val="20"/>
        </w:rPr>
        <w:t>ough to avoid a</w:t>
      </w:r>
      <w:r w:rsidR="00AB36FF" w:rsidRPr="003750B8">
        <w:rPr>
          <w:sz w:val="20"/>
          <w:szCs w:val="20"/>
        </w:rPr>
        <w:t xml:space="preserve"> permanent</w:t>
      </w:r>
      <w:r w:rsidR="00874105" w:rsidRPr="003750B8">
        <w:rPr>
          <w:sz w:val="20"/>
          <w:szCs w:val="20"/>
        </w:rPr>
        <w:t xml:space="preserve"> loss of capital—</w:t>
      </w:r>
      <w:r w:rsidR="00364991" w:rsidRPr="003750B8">
        <w:rPr>
          <w:sz w:val="20"/>
          <w:szCs w:val="20"/>
        </w:rPr>
        <w:t>you also need your capital to grow at least in line with inflation.</w:t>
      </w:r>
    </w:p>
    <w:p w:rsidR="002772C6" w:rsidRPr="003750B8" w:rsidRDefault="002772C6" w:rsidP="00147257">
      <w:pPr>
        <w:ind w:right="-270"/>
        <w:rPr>
          <w:sz w:val="20"/>
          <w:szCs w:val="20"/>
        </w:rPr>
      </w:pPr>
    </w:p>
    <w:p w:rsidR="0054553E" w:rsidRPr="003750B8" w:rsidRDefault="00364991" w:rsidP="00147257">
      <w:pPr>
        <w:ind w:right="-270"/>
        <w:rPr>
          <w:sz w:val="20"/>
          <w:szCs w:val="20"/>
        </w:rPr>
      </w:pPr>
      <w:r w:rsidRPr="003750B8">
        <w:rPr>
          <w:sz w:val="20"/>
          <w:szCs w:val="20"/>
        </w:rPr>
        <w:t>Given this concept of risk, it is indeed ironic, then, that w</w:t>
      </w:r>
      <w:r w:rsidR="0054553E" w:rsidRPr="003750B8">
        <w:rPr>
          <w:sz w:val="20"/>
          <w:szCs w:val="20"/>
        </w:rPr>
        <w:t>hen markets get volatile and investors go into “risk-off” mode,</w:t>
      </w:r>
      <w:r w:rsidR="00630F68" w:rsidRPr="003750B8">
        <w:rPr>
          <w:sz w:val="20"/>
          <w:szCs w:val="20"/>
        </w:rPr>
        <w:t xml:space="preserve"> they typically pile into lower beta </w:t>
      </w:r>
      <w:r w:rsidR="00057E38" w:rsidRPr="003750B8">
        <w:rPr>
          <w:sz w:val="20"/>
          <w:szCs w:val="20"/>
        </w:rPr>
        <w:t>assets, like cash or T</w:t>
      </w:r>
      <w:r w:rsidR="0054553E" w:rsidRPr="003750B8">
        <w:rPr>
          <w:sz w:val="20"/>
          <w:szCs w:val="20"/>
        </w:rPr>
        <w:t xml:space="preserve">reasuries.  </w:t>
      </w:r>
      <w:r w:rsidR="00057E38" w:rsidRPr="003750B8">
        <w:rPr>
          <w:sz w:val="20"/>
          <w:szCs w:val="20"/>
        </w:rPr>
        <w:t xml:space="preserve">No risk in </w:t>
      </w:r>
      <w:r w:rsidR="009D12BF" w:rsidRPr="003750B8">
        <w:rPr>
          <w:sz w:val="20"/>
          <w:szCs w:val="20"/>
        </w:rPr>
        <w:t xml:space="preserve">cash, right? </w:t>
      </w:r>
      <w:r w:rsidR="006209AC" w:rsidRPr="003750B8">
        <w:rPr>
          <w:sz w:val="20"/>
          <w:szCs w:val="20"/>
        </w:rPr>
        <w:t xml:space="preserve"> </w:t>
      </w:r>
      <w:r w:rsidR="009D12BF" w:rsidRPr="003750B8">
        <w:rPr>
          <w:sz w:val="20"/>
          <w:szCs w:val="20"/>
        </w:rPr>
        <w:t xml:space="preserve">How can there be? </w:t>
      </w:r>
      <w:r w:rsidR="006209AC" w:rsidRPr="003750B8">
        <w:rPr>
          <w:sz w:val="20"/>
          <w:szCs w:val="20"/>
        </w:rPr>
        <w:t xml:space="preserve"> </w:t>
      </w:r>
      <w:r w:rsidR="009D12BF" w:rsidRPr="003750B8">
        <w:rPr>
          <w:sz w:val="20"/>
          <w:szCs w:val="20"/>
        </w:rPr>
        <w:t>C</w:t>
      </w:r>
      <w:r w:rsidR="00057E38" w:rsidRPr="003750B8">
        <w:rPr>
          <w:sz w:val="20"/>
          <w:szCs w:val="20"/>
        </w:rPr>
        <w:t>ash is</w:t>
      </w:r>
      <w:r w:rsidR="009D12BF" w:rsidRPr="003750B8">
        <w:rPr>
          <w:sz w:val="20"/>
          <w:szCs w:val="20"/>
        </w:rPr>
        <w:t xml:space="preserve"> a zero beta instrument.</w:t>
      </w:r>
      <w:r w:rsidR="00057E38" w:rsidRPr="003750B8">
        <w:rPr>
          <w:sz w:val="20"/>
          <w:szCs w:val="20"/>
        </w:rPr>
        <w:t xml:space="preserve">  Tell that to a </w:t>
      </w:r>
      <w:r w:rsidR="00E11A7E" w:rsidRPr="003750B8">
        <w:rPr>
          <w:sz w:val="20"/>
          <w:szCs w:val="20"/>
        </w:rPr>
        <w:t xml:space="preserve">theoretical </w:t>
      </w:r>
      <w:r w:rsidR="00057E38" w:rsidRPr="003750B8">
        <w:rPr>
          <w:sz w:val="20"/>
          <w:szCs w:val="20"/>
        </w:rPr>
        <w:t xml:space="preserve">Zimbabwean investor who </w:t>
      </w:r>
      <w:r w:rsidR="00E11A7E" w:rsidRPr="003750B8">
        <w:rPr>
          <w:sz w:val="20"/>
          <w:szCs w:val="20"/>
        </w:rPr>
        <w:t xml:space="preserve">might have </w:t>
      </w:r>
      <w:r w:rsidR="00057E38" w:rsidRPr="003750B8">
        <w:rPr>
          <w:sz w:val="20"/>
          <w:szCs w:val="20"/>
        </w:rPr>
        <w:t xml:space="preserve">timed the market perfectly by selling off his stock portfolio </w:t>
      </w:r>
      <w:r w:rsidR="00E11A7E" w:rsidRPr="003750B8">
        <w:rPr>
          <w:sz w:val="20"/>
          <w:szCs w:val="20"/>
        </w:rPr>
        <w:t xml:space="preserve">in 2007 </w:t>
      </w:r>
      <w:r w:rsidR="00057E38" w:rsidRPr="003750B8">
        <w:rPr>
          <w:sz w:val="20"/>
          <w:szCs w:val="20"/>
        </w:rPr>
        <w:t xml:space="preserve">and </w:t>
      </w:r>
      <w:r w:rsidR="00E11A7E" w:rsidRPr="003750B8">
        <w:rPr>
          <w:sz w:val="20"/>
          <w:szCs w:val="20"/>
        </w:rPr>
        <w:t xml:space="preserve">gone </w:t>
      </w:r>
      <w:r w:rsidR="00F121BD" w:rsidRPr="003750B8">
        <w:rPr>
          <w:sz w:val="20"/>
          <w:szCs w:val="20"/>
        </w:rPr>
        <w:t>to cash</w:t>
      </w:r>
      <w:r w:rsidR="00630F68" w:rsidRPr="003750B8">
        <w:rPr>
          <w:sz w:val="20"/>
          <w:szCs w:val="20"/>
        </w:rPr>
        <w:t xml:space="preserve"> in Zimbabwe Dollars</w:t>
      </w:r>
      <w:r w:rsidR="00057E38" w:rsidRPr="003750B8">
        <w:rPr>
          <w:sz w:val="20"/>
          <w:szCs w:val="20"/>
        </w:rPr>
        <w:t xml:space="preserve">.  By </w:t>
      </w:r>
      <w:r w:rsidR="00E11A7E" w:rsidRPr="003750B8">
        <w:rPr>
          <w:sz w:val="20"/>
          <w:szCs w:val="20"/>
        </w:rPr>
        <w:t>March of 2008</w:t>
      </w:r>
      <w:r w:rsidR="00874105" w:rsidRPr="003750B8">
        <w:rPr>
          <w:sz w:val="20"/>
          <w:szCs w:val="20"/>
        </w:rPr>
        <w:t>,</w:t>
      </w:r>
      <w:r w:rsidR="00630F68" w:rsidRPr="003750B8">
        <w:rPr>
          <w:sz w:val="20"/>
          <w:szCs w:val="20"/>
        </w:rPr>
        <w:t xml:space="preserve"> his entire portfolio </w:t>
      </w:r>
      <w:r w:rsidR="009D3654" w:rsidRPr="003750B8">
        <w:rPr>
          <w:sz w:val="20"/>
          <w:szCs w:val="20"/>
        </w:rPr>
        <w:t xml:space="preserve">probably </w:t>
      </w:r>
      <w:r w:rsidR="00630F68" w:rsidRPr="003750B8">
        <w:rPr>
          <w:sz w:val="20"/>
          <w:szCs w:val="20"/>
        </w:rPr>
        <w:t>could</w:t>
      </w:r>
      <w:r w:rsidR="005F1CD8" w:rsidRPr="003750B8">
        <w:rPr>
          <w:sz w:val="20"/>
          <w:szCs w:val="20"/>
        </w:rPr>
        <w:t>n’t</w:t>
      </w:r>
      <w:r w:rsidR="00630F68" w:rsidRPr="003750B8">
        <w:rPr>
          <w:sz w:val="20"/>
          <w:szCs w:val="20"/>
        </w:rPr>
        <w:t xml:space="preserve"> have bought </w:t>
      </w:r>
      <w:r w:rsidR="005F1CD8" w:rsidRPr="003750B8">
        <w:rPr>
          <w:sz w:val="20"/>
          <w:szCs w:val="20"/>
        </w:rPr>
        <w:t>so much as</w:t>
      </w:r>
      <w:r w:rsidR="00E11A7E" w:rsidRPr="003750B8">
        <w:rPr>
          <w:sz w:val="20"/>
          <w:szCs w:val="20"/>
        </w:rPr>
        <w:t xml:space="preserve"> a sausage sandwich</w:t>
      </w:r>
      <w:r w:rsidR="00874105" w:rsidRPr="003750B8">
        <w:rPr>
          <w:sz w:val="20"/>
          <w:szCs w:val="20"/>
        </w:rPr>
        <w:t>,</w:t>
      </w:r>
      <w:r w:rsidR="00E11A7E" w:rsidRPr="003750B8">
        <w:rPr>
          <w:sz w:val="20"/>
          <w:szCs w:val="20"/>
        </w:rPr>
        <w:t xml:space="preserve"> </w:t>
      </w:r>
      <w:r w:rsidR="00630F68" w:rsidRPr="003750B8">
        <w:rPr>
          <w:sz w:val="20"/>
          <w:szCs w:val="20"/>
        </w:rPr>
        <w:t>which by then was</w:t>
      </w:r>
      <w:r w:rsidR="00E11A7E" w:rsidRPr="003750B8">
        <w:rPr>
          <w:sz w:val="20"/>
          <w:szCs w:val="20"/>
        </w:rPr>
        <w:t xml:space="preserve"> costing Z$30,00</w:t>
      </w:r>
      <w:r w:rsidR="006209AC" w:rsidRPr="003750B8">
        <w:rPr>
          <w:sz w:val="20"/>
          <w:szCs w:val="20"/>
        </w:rPr>
        <w:t>0,000, or about a buck twenty-five US</w:t>
      </w:r>
      <w:r w:rsidR="00471AF0" w:rsidRPr="003750B8">
        <w:rPr>
          <w:sz w:val="20"/>
          <w:szCs w:val="20"/>
        </w:rPr>
        <w:t>!</w:t>
      </w:r>
    </w:p>
    <w:p w:rsidR="00E11A7E" w:rsidRPr="003750B8" w:rsidRDefault="00E11A7E" w:rsidP="00147257">
      <w:pPr>
        <w:ind w:right="-270"/>
        <w:rPr>
          <w:sz w:val="20"/>
          <w:szCs w:val="20"/>
        </w:rPr>
      </w:pPr>
    </w:p>
    <w:p w:rsidR="00A53159" w:rsidRPr="003750B8" w:rsidRDefault="00471AF0" w:rsidP="00147257">
      <w:pPr>
        <w:ind w:right="-270"/>
        <w:rPr>
          <w:sz w:val="20"/>
          <w:szCs w:val="20"/>
        </w:rPr>
      </w:pPr>
      <w:r w:rsidRPr="003750B8">
        <w:rPr>
          <w:sz w:val="20"/>
          <w:szCs w:val="20"/>
        </w:rPr>
        <w:t>We admit the Zimbabwe example is not a very</w:t>
      </w:r>
      <w:r w:rsidR="00C068AC" w:rsidRPr="003750B8">
        <w:rPr>
          <w:sz w:val="20"/>
          <w:szCs w:val="20"/>
        </w:rPr>
        <w:t xml:space="preserve"> fair one to use; there i</w:t>
      </w:r>
      <w:r w:rsidRPr="003750B8">
        <w:rPr>
          <w:sz w:val="20"/>
          <w:szCs w:val="20"/>
        </w:rPr>
        <w:t xml:space="preserve">sn’t an investment in the world that </w:t>
      </w:r>
      <w:r w:rsidR="005F1CD8" w:rsidRPr="003750B8">
        <w:rPr>
          <w:sz w:val="20"/>
          <w:szCs w:val="20"/>
        </w:rPr>
        <w:t>could keep</w:t>
      </w:r>
      <w:r w:rsidRPr="003750B8">
        <w:rPr>
          <w:sz w:val="20"/>
          <w:szCs w:val="20"/>
        </w:rPr>
        <w:t xml:space="preserve"> up with the </w:t>
      </w:r>
      <w:r w:rsidR="006209AC" w:rsidRPr="003750B8">
        <w:rPr>
          <w:sz w:val="20"/>
          <w:szCs w:val="20"/>
        </w:rPr>
        <w:t>hyperinflation</w:t>
      </w:r>
      <w:r w:rsidRPr="003750B8">
        <w:rPr>
          <w:sz w:val="20"/>
          <w:szCs w:val="20"/>
        </w:rPr>
        <w:t xml:space="preserve"> rates that hit Zimbabwe.  </w:t>
      </w:r>
      <w:r w:rsidR="00CE116D" w:rsidRPr="003750B8">
        <w:rPr>
          <w:sz w:val="20"/>
          <w:szCs w:val="20"/>
        </w:rPr>
        <w:t>But as Mr. Buffett reminds us in his 2011 letter, the US Dollar has fallen 86% in value since 1965, the year he took over Berkshire Hathaway.  This deflatio</w:t>
      </w:r>
      <w:r w:rsidR="005F1CD8" w:rsidRPr="003750B8">
        <w:rPr>
          <w:sz w:val="20"/>
          <w:szCs w:val="20"/>
        </w:rPr>
        <w:t xml:space="preserve">n in the value of our currency </w:t>
      </w:r>
      <w:r w:rsidR="00CE116D" w:rsidRPr="003750B8">
        <w:rPr>
          <w:sz w:val="20"/>
          <w:szCs w:val="20"/>
        </w:rPr>
        <w:t xml:space="preserve">has continued unabated </w:t>
      </w:r>
      <w:r w:rsidR="00FC2663" w:rsidRPr="003750B8">
        <w:rPr>
          <w:sz w:val="20"/>
          <w:szCs w:val="20"/>
        </w:rPr>
        <w:t>over the past 10 years when measured against the price of gold (don’t worry, we’re not jumping on the gold ba</w:t>
      </w:r>
      <w:r w:rsidR="00874105" w:rsidRPr="003750B8">
        <w:rPr>
          <w:sz w:val="20"/>
          <w:szCs w:val="20"/>
        </w:rPr>
        <w:t>ndwagon;</w:t>
      </w:r>
      <w:r w:rsidR="00FC2663" w:rsidRPr="003750B8">
        <w:rPr>
          <w:sz w:val="20"/>
          <w:szCs w:val="20"/>
        </w:rPr>
        <w:t xml:space="preserve"> we’re just making a point here).  Gold has appreciated, or in other words, the US Dollar has depreciated at an approximate 19% annualized rate for the past ten years.  Past performance is certainly no indicator of future results, but in the words of Mr. Buffett (again from his 2011 letter): “Current rates . . . do not come close to offsetting the purchasing-power risk that investors assume.  Right now bonds should come with a warning label.”</w:t>
      </w:r>
    </w:p>
    <w:p w:rsidR="00A53159" w:rsidRPr="003750B8" w:rsidRDefault="00A53159" w:rsidP="00147257">
      <w:pPr>
        <w:ind w:right="-270"/>
        <w:rPr>
          <w:sz w:val="20"/>
          <w:szCs w:val="20"/>
        </w:rPr>
      </w:pPr>
    </w:p>
    <w:p w:rsidR="00A53159" w:rsidRPr="003750B8" w:rsidRDefault="009D12BF" w:rsidP="00147257">
      <w:pPr>
        <w:ind w:right="-270"/>
        <w:rPr>
          <w:sz w:val="20"/>
          <w:szCs w:val="20"/>
        </w:rPr>
      </w:pPr>
      <w:r w:rsidRPr="003750B8">
        <w:rPr>
          <w:sz w:val="20"/>
          <w:szCs w:val="20"/>
        </w:rPr>
        <w:t>We think TIPs certainly have a warning label on them right now: their negative yield.  As of March 30, the yield on the 10</w:t>
      </w:r>
      <w:r w:rsidR="00A53159" w:rsidRPr="003750B8">
        <w:rPr>
          <w:sz w:val="20"/>
          <w:szCs w:val="20"/>
        </w:rPr>
        <w:t>-</w:t>
      </w:r>
      <w:r w:rsidRPr="003750B8">
        <w:rPr>
          <w:sz w:val="20"/>
          <w:szCs w:val="20"/>
        </w:rPr>
        <w:t xml:space="preserve">yr TIP is -0.19%.  </w:t>
      </w:r>
      <w:r w:rsidR="00A53159" w:rsidRPr="003750B8">
        <w:rPr>
          <w:sz w:val="20"/>
          <w:szCs w:val="20"/>
        </w:rPr>
        <w:t>A negative yield on TIPs implies that inve</w:t>
      </w:r>
      <w:r w:rsidR="00F121BD" w:rsidRPr="003750B8">
        <w:rPr>
          <w:sz w:val="20"/>
          <w:szCs w:val="20"/>
        </w:rPr>
        <w:t>stors view them as insurance and are willing to pay a</w:t>
      </w:r>
      <w:r w:rsidR="009D3654" w:rsidRPr="003750B8">
        <w:rPr>
          <w:sz w:val="20"/>
          <w:szCs w:val="20"/>
        </w:rPr>
        <w:t>n annual</w:t>
      </w:r>
      <w:r w:rsidR="00A53159" w:rsidRPr="003750B8">
        <w:rPr>
          <w:sz w:val="20"/>
          <w:szCs w:val="20"/>
        </w:rPr>
        <w:t xml:space="preserve"> premium for some inflation protection.  So maybe investors really are assuming high purchasing-power risk</w:t>
      </w:r>
      <w:r w:rsidR="00874105" w:rsidRPr="003750B8">
        <w:rPr>
          <w:sz w:val="20"/>
          <w:szCs w:val="20"/>
        </w:rPr>
        <w:t xml:space="preserve">, as Mr. Buffett maintains. </w:t>
      </w:r>
      <w:r w:rsidR="006209AC" w:rsidRPr="003750B8">
        <w:rPr>
          <w:sz w:val="20"/>
          <w:szCs w:val="20"/>
        </w:rPr>
        <w:t xml:space="preserve"> </w:t>
      </w:r>
      <w:r w:rsidR="00874105" w:rsidRPr="003750B8">
        <w:rPr>
          <w:sz w:val="20"/>
          <w:szCs w:val="20"/>
        </w:rPr>
        <w:t>B</w:t>
      </w:r>
      <w:r w:rsidR="00A53159" w:rsidRPr="003750B8">
        <w:rPr>
          <w:sz w:val="20"/>
          <w:szCs w:val="20"/>
        </w:rPr>
        <w:t>ut if that is truly the case</w:t>
      </w:r>
      <w:r w:rsidR="00874105" w:rsidRPr="003750B8">
        <w:rPr>
          <w:sz w:val="20"/>
          <w:szCs w:val="20"/>
        </w:rPr>
        <w:t>,</w:t>
      </w:r>
      <w:r w:rsidR="00A53159" w:rsidRPr="003750B8">
        <w:rPr>
          <w:sz w:val="20"/>
          <w:szCs w:val="20"/>
        </w:rPr>
        <w:t xml:space="preserve"> </w:t>
      </w:r>
      <w:r w:rsidR="006209AC" w:rsidRPr="003750B8">
        <w:rPr>
          <w:sz w:val="20"/>
          <w:szCs w:val="20"/>
        </w:rPr>
        <w:t>why aren’t investors</w:t>
      </w:r>
      <w:r w:rsidR="00FC2663" w:rsidRPr="003750B8">
        <w:rPr>
          <w:sz w:val="20"/>
          <w:szCs w:val="20"/>
        </w:rPr>
        <w:t xml:space="preserve"> demanding a higher rate of interest on </w:t>
      </w:r>
      <w:r w:rsidR="00A53159" w:rsidRPr="003750B8">
        <w:rPr>
          <w:sz w:val="20"/>
          <w:szCs w:val="20"/>
        </w:rPr>
        <w:t xml:space="preserve">nominal </w:t>
      </w:r>
      <w:r w:rsidR="00FC2663" w:rsidRPr="003750B8">
        <w:rPr>
          <w:sz w:val="20"/>
          <w:szCs w:val="20"/>
        </w:rPr>
        <w:t>bonds?  Well</w:t>
      </w:r>
      <w:r w:rsidR="00874105" w:rsidRPr="003750B8">
        <w:rPr>
          <w:sz w:val="20"/>
          <w:szCs w:val="20"/>
        </w:rPr>
        <w:t>,</w:t>
      </w:r>
      <w:r w:rsidR="00FC2663" w:rsidRPr="003750B8">
        <w:rPr>
          <w:sz w:val="20"/>
          <w:szCs w:val="20"/>
        </w:rPr>
        <w:t xml:space="preserve"> maybe because the biggest </w:t>
      </w:r>
      <w:r w:rsidR="00AE4D92" w:rsidRPr="003750B8">
        <w:rPr>
          <w:sz w:val="20"/>
          <w:szCs w:val="20"/>
        </w:rPr>
        <w:t>player in the bond markets</w:t>
      </w:r>
      <w:r w:rsidR="00FC2663" w:rsidRPr="003750B8">
        <w:rPr>
          <w:sz w:val="20"/>
          <w:szCs w:val="20"/>
        </w:rPr>
        <w:t xml:space="preserve"> </w:t>
      </w:r>
      <w:r w:rsidR="00AE4D92" w:rsidRPr="003750B8">
        <w:rPr>
          <w:sz w:val="20"/>
          <w:szCs w:val="20"/>
        </w:rPr>
        <w:t>over the past few years has been</w:t>
      </w:r>
      <w:r w:rsidR="00FC2663" w:rsidRPr="003750B8">
        <w:rPr>
          <w:sz w:val="20"/>
          <w:szCs w:val="20"/>
        </w:rPr>
        <w:t xml:space="preserve"> </w:t>
      </w:r>
      <w:r w:rsidRPr="003750B8">
        <w:rPr>
          <w:sz w:val="20"/>
          <w:szCs w:val="20"/>
        </w:rPr>
        <w:t xml:space="preserve">none other than your </w:t>
      </w:r>
      <w:r w:rsidR="00FC2663" w:rsidRPr="003750B8">
        <w:rPr>
          <w:sz w:val="20"/>
          <w:szCs w:val="20"/>
        </w:rPr>
        <w:t>Uncle Sam.</w:t>
      </w:r>
      <w:r w:rsidR="004F77CA" w:rsidRPr="003750B8">
        <w:rPr>
          <w:sz w:val="20"/>
          <w:szCs w:val="20"/>
        </w:rPr>
        <w:t xml:space="preserve">  </w:t>
      </w:r>
    </w:p>
    <w:p w:rsidR="00A53159" w:rsidRPr="003750B8" w:rsidRDefault="00A53159" w:rsidP="00147257">
      <w:pPr>
        <w:ind w:right="-270"/>
        <w:rPr>
          <w:sz w:val="20"/>
          <w:szCs w:val="20"/>
        </w:rPr>
      </w:pPr>
    </w:p>
    <w:p w:rsidR="0077181E" w:rsidRPr="003750B8" w:rsidRDefault="004F77CA" w:rsidP="00147257">
      <w:pPr>
        <w:ind w:right="-270"/>
        <w:rPr>
          <w:sz w:val="20"/>
          <w:szCs w:val="20"/>
        </w:rPr>
      </w:pPr>
      <w:r w:rsidRPr="003750B8">
        <w:rPr>
          <w:sz w:val="20"/>
          <w:szCs w:val="20"/>
        </w:rPr>
        <w:t xml:space="preserve">You’ve no doubt seen the scary looking chart detailing the size of the Fed’s balance sheet.  We reproduce </w:t>
      </w:r>
      <w:r w:rsidR="00F121BD" w:rsidRPr="003750B8">
        <w:rPr>
          <w:sz w:val="20"/>
          <w:szCs w:val="20"/>
        </w:rPr>
        <w:t xml:space="preserve">it again here </w:t>
      </w:r>
      <w:r w:rsidRPr="003750B8">
        <w:rPr>
          <w:sz w:val="20"/>
          <w:szCs w:val="20"/>
        </w:rPr>
        <w:t>as Chart 1</w:t>
      </w:r>
      <w:r w:rsidR="009D3654" w:rsidRPr="003750B8">
        <w:rPr>
          <w:sz w:val="20"/>
          <w:szCs w:val="20"/>
        </w:rPr>
        <w:t>,</w:t>
      </w:r>
      <w:r w:rsidRPr="003750B8">
        <w:rPr>
          <w:sz w:val="20"/>
          <w:szCs w:val="20"/>
        </w:rPr>
        <w:t xml:space="preserve"> which is </w:t>
      </w:r>
      <w:r w:rsidR="0077181E" w:rsidRPr="003750B8">
        <w:rPr>
          <w:sz w:val="20"/>
          <w:szCs w:val="20"/>
        </w:rPr>
        <w:t xml:space="preserve">simply the level of “Total </w:t>
      </w:r>
      <w:r w:rsidR="00AE4D92" w:rsidRPr="003750B8">
        <w:rPr>
          <w:sz w:val="20"/>
          <w:szCs w:val="20"/>
        </w:rPr>
        <w:t xml:space="preserve">factors supplying </w:t>
      </w:r>
      <w:r w:rsidR="0077181E" w:rsidRPr="003750B8">
        <w:rPr>
          <w:sz w:val="20"/>
          <w:szCs w:val="20"/>
        </w:rPr>
        <w:t>reserve funds” as reported by the Federal Reserve as of March 8, 2012.</w:t>
      </w:r>
      <w:r w:rsidR="00C3187D" w:rsidRPr="003750B8">
        <w:rPr>
          <w:sz w:val="20"/>
          <w:szCs w:val="20"/>
        </w:rPr>
        <w:t xml:space="preserve">  This is the assets side of the US Government’s balance sheet.</w:t>
      </w:r>
    </w:p>
    <w:p w:rsidR="00BA6445" w:rsidRPr="003750B8" w:rsidRDefault="00BA6445" w:rsidP="00147257">
      <w:pPr>
        <w:ind w:right="-270"/>
        <w:rPr>
          <w:sz w:val="20"/>
          <w:szCs w:val="20"/>
        </w:rPr>
      </w:pPr>
    </w:p>
    <w:p w:rsidR="0077181E" w:rsidRPr="003750B8" w:rsidRDefault="0077181E" w:rsidP="00147257">
      <w:pPr>
        <w:ind w:right="-270"/>
        <w:rPr>
          <w:sz w:val="20"/>
          <w:szCs w:val="20"/>
        </w:rPr>
      </w:pPr>
      <w:r w:rsidRPr="003750B8">
        <w:rPr>
          <w:b/>
          <w:i/>
          <w:sz w:val="20"/>
          <w:szCs w:val="20"/>
        </w:rPr>
        <w:t xml:space="preserve">Chart 1: Total </w:t>
      </w:r>
      <w:r w:rsidR="00AE4D92" w:rsidRPr="003750B8">
        <w:rPr>
          <w:b/>
          <w:i/>
          <w:sz w:val="20"/>
          <w:szCs w:val="20"/>
        </w:rPr>
        <w:t>factors supplying</w:t>
      </w:r>
      <w:r w:rsidRPr="003750B8">
        <w:rPr>
          <w:b/>
          <w:i/>
          <w:sz w:val="20"/>
          <w:szCs w:val="20"/>
        </w:rPr>
        <w:t xml:space="preserve"> reserve funds as of 03/08/12</w:t>
      </w:r>
    </w:p>
    <w:p w:rsidR="0077181E" w:rsidRPr="003750B8" w:rsidRDefault="00AE4D92" w:rsidP="00147257">
      <w:pPr>
        <w:ind w:right="-270"/>
        <w:rPr>
          <w:color w:val="FF0000"/>
          <w:sz w:val="20"/>
          <w:szCs w:val="20"/>
        </w:rPr>
      </w:pPr>
      <w:r w:rsidRPr="003750B8">
        <w:rPr>
          <w:noProof/>
          <w:sz w:val="20"/>
          <w:szCs w:val="20"/>
        </w:rPr>
        <w:drawing>
          <wp:inline distT="0" distB="0" distL="0" distR="0">
            <wp:extent cx="5942775" cy="3014134"/>
            <wp:effectExtent l="0" t="0" r="127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4330" cy="3014923"/>
                    </a:xfrm>
                    <a:prstGeom prst="rect">
                      <a:avLst/>
                    </a:prstGeom>
                    <a:noFill/>
                    <a:ln>
                      <a:noFill/>
                    </a:ln>
                  </pic:spPr>
                </pic:pic>
              </a:graphicData>
            </a:graphic>
          </wp:inline>
        </w:drawing>
      </w:r>
    </w:p>
    <w:p w:rsidR="00E11A7E" w:rsidRPr="003750B8" w:rsidRDefault="005F6738" w:rsidP="00147257">
      <w:pPr>
        <w:ind w:right="-270"/>
        <w:rPr>
          <w:color w:val="FF0000"/>
          <w:sz w:val="20"/>
          <w:szCs w:val="20"/>
        </w:rPr>
      </w:pPr>
      <w:r>
        <w:rPr>
          <w:noProof/>
          <w:color w:val="FF0000"/>
          <w:sz w:val="20"/>
          <w:szCs w:val="20"/>
        </w:rPr>
        <mc:AlternateContent>
          <mc:Choice Requires="wps">
            <w:drawing>
              <wp:anchor distT="0" distB="0" distL="114300" distR="114300" simplePos="0" relativeHeight="251659264" behindDoc="0" locked="0" layoutInCell="1" allowOverlap="1">
                <wp:simplePos x="0" y="0"/>
                <wp:positionH relativeFrom="column">
                  <wp:posOffset>2484755</wp:posOffset>
                </wp:positionH>
                <wp:positionV relativeFrom="paragraph">
                  <wp:posOffset>14605</wp:posOffset>
                </wp:positionV>
                <wp:extent cx="3444875" cy="21272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4875" cy="212725"/>
                        </a:xfrm>
                        <a:prstGeom prst="rect">
                          <a:avLst/>
                        </a:prstGeom>
                        <a:noFill/>
                        <a:ln>
                          <a:noFill/>
                        </a:ln>
                        <a:effectLst/>
                        <a:extLst>
                          <a:ext uri="{C572A759-6A51-4108-AA02-DFA0A04FC94B}">
                            <ma14:wrappingTextBoxFlag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1E4E86" w:rsidRPr="00AE4D92" w:rsidRDefault="001E4E86">
                            <w:pPr>
                              <w:rPr>
                                <w:rFonts w:asciiTheme="majorHAnsi" w:hAnsiTheme="majorHAnsi"/>
                                <w:i/>
                                <w:sz w:val="18"/>
                                <w:szCs w:val="22"/>
                              </w:rPr>
                            </w:pPr>
                            <w:r>
                              <w:rPr>
                                <w:rFonts w:asciiTheme="majorHAnsi" w:hAnsiTheme="majorHAnsi"/>
                                <w:i/>
                                <w:sz w:val="18"/>
                                <w:szCs w:val="22"/>
                              </w:rPr>
                              <w:t>s</w:t>
                            </w:r>
                            <w:r w:rsidRPr="00AE4D92">
                              <w:rPr>
                                <w:rFonts w:asciiTheme="majorHAnsi" w:hAnsiTheme="majorHAnsi"/>
                                <w:i/>
                                <w:sz w:val="18"/>
                                <w:szCs w:val="22"/>
                              </w:rPr>
                              <w:t>ource: http://www.federalreserve.gov/releases/h41/hist/h41hist1.txt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95.65pt;margin-top:1.15pt;width:271.25pt;height:16.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" filled="f" stroked="f">
                <v:path arrowok="t"/>
                <v:textbox>
                  <w:txbxContent>
                    <w:p w:rsidR="001E4E86" w:rsidRPr="00AE4D92" w:rsidRDefault="001E4E86">
                      <w:pPr>
                        <w:rPr>
                          <w:rFonts w:asciiTheme="majorHAnsi" w:hAnsiTheme="majorHAnsi"/>
                          <w:i/>
                          <w:sz w:val="18"/>
                          <w:szCs w:val="22"/>
                        </w:rPr>
                      </w:pPr>
                      <w:r>
                        <w:rPr>
                          <w:rFonts w:asciiTheme="majorHAnsi" w:hAnsiTheme="majorHAnsi"/>
                          <w:i/>
                          <w:sz w:val="18"/>
                          <w:szCs w:val="22"/>
                        </w:rPr>
                        <w:t>s</w:t>
                      </w:r>
                      <w:r w:rsidRPr="00AE4D92">
                        <w:rPr>
                          <w:rFonts w:asciiTheme="majorHAnsi" w:hAnsiTheme="majorHAnsi"/>
                          <w:i/>
                          <w:sz w:val="18"/>
                          <w:szCs w:val="22"/>
                        </w:rPr>
                        <w:t>ource: http://www.federalreserve.gov/releases/h41/hist/h41hist1.txt</w:t>
                      </w:r>
                    </w:p>
                  </w:txbxContent>
                </v:textbox>
                <w10:wrap type="square"/>
              </v:shape>
            </w:pict>
          </mc:Fallback>
        </mc:AlternateContent>
      </w:r>
    </w:p>
    <w:p w:rsidR="0054553E" w:rsidRPr="003750B8" w:rsidRDefault="0054553E" w:rsidP="00147257">
      <w:pPr>
        <w:ind w:right="-270"/>
        <w:rPr>
          <w:sz w:val="20"/>
          <w:szCs w:val="20"/>
        </w:rPr>
      </w:pPr>
    </w:p>
    <w:p w:rsidR="00EF52FF" w:rsidRPr="003750B8" w:rsidRDefault="000E1472" w:rsidP="00147257">
      <w:pPr>
        <w:ind w:right="-270"/>
        <w:rPr>
          <w:sz w:val="20"/>
          <w:szCs w:val="20"/>
        </w:rPr>
      </w:pPr>
      <w:r w:rsidRPr="003750B8">
        <w:rPr>
          <w:sz w:val="20"/>
          <w:szCs w:val="20"/>
        </w:rPr>
        <w:t>N</w:t>
      </w:r>
      <w:r w:rsidR="00AE4D92" w:rsidRPr="003750B8">
        <w:rPr>
          <w:sz w:val="20"/>
          <w:szCs w:val="20"/>
        </w:rPr>
        <w:t>o</w:t>
      </w:r>
      <w:r w:rsidR="0071231D" w:rsidRPr="003750B8">
        <w:rPr>
          <w:sz w:val="20"/>
          <w:szCs w:val="20"/>
        </w:rPr>
        <w:t xml:space="preserve"> wonder rates are so low!</w:t>
      </w:r>
      <w:r w:rsidR="002759D2" w:rsidRPr="003750B8">
        <w:rPr>
          <w:sz w:val="20"/>
          <w:szCs w:val="20"/>
        </w:rPr>
        <w:t xml:space="preserve">  </w:t>
      </w:r>
      <w:r w:rsidR="00214225" w:rsidRPr="003750B8">
        <w:rPr>
          <w:sz w:val="20"/>
          <w:szCs w:val="20"/>
        </w:rPr>
        <w:t xml:space="preserve">The biggest buyer of rates </w:t>
      </w:r>
      <w:r w:rsidR="00A53159" w:rsidRPr="003750B8">
        <w:rPr>
          <w:sz w:val="20"/>
          <w:szCs w:val="20"/>
        </w:rPr>
        <w:t>over the past few years</w:t>
      </w:r>
      <w:r w:rsidR="00214225" w:rsidRPr="003750B8">
        <w:rPr>
          <w:sz w:val="20"/>
          <w:szCs w:val="20"/>
        </w:rPr>
        <w:t xml:space="preserve"> has </w:t>
      </w:r>
      <w:r w:rsidR="00C3187D" w:rsidRPr="003750B8">
        <w:rPr>
          <w:sz w:val="20"/>
          <w:szCs w:val="20"/>
        </w:rPr>
        <w:t xml:space="preserve">absolutely </w:t>
      </w:r>
      <w:r w:rsidR="00214225" w:rsidRPr="003750B8">
        <w:rPr>
          <w:sz w:val="20"/>
          <w:szCs w:val="20"/>
        </w:rPr>
        <w:t>no interest in getting a d</w:t>
      </w:r>
      <w:r w:rsidR="00C3187D" w:rsidRPr="003750B8">
        <w:rPr>
          <w:sz w:val="20"/>
          <w:szCs w:val="20"/>
        </w:rPr>
        <w:t xml:space="preserve">ecent </w:t>
      </w:r>
      <w:r w:rsidR="00F121BD" w:rsidRPr="003750B8">
        <w:rPr>
          <w:sz w:val="20"/>
          <w:szCs w:val="20"/>
        </w:rPr>
        <w:t>yield;</w:t>
      </w:r>
      <w:r w:rsidR="00A53159" w:rsidRPr="003750B8">
        <w:rPr>
          <w:sz w:val="20"/>
          <w:szCs w:val="20"/>
        </w:rPr>
        <w:t xml:space="preserve"> </w:t>
      </w:r>
      <w:r w:rsidR="006209AC" w:rsidRPr="003750B8">
        <w:rPr>
          <w:sz w:val="20"/>
          <w:szCs w:val="20"/>
        </w:rPr>
        <w:t xml:space="preserve">in fact, </w:t>
      </w:r>
      <w:r w:rsidR="00A53159" w:rsidRPr="003750B8">
        <w:rPr>
          <w:sz w:val="20"/>
          <w:szCs w:val="20"/>
        </w:rPr>
        <w:t xml:space="preserve">he’s buying </w:t>
      </w:r>
      <w:r w:rsidR="00EF52FF" w:rsidRPr="003750B8">
        <w:rPr>
          <w:sz w:val="20"/>
          <w:szCs w:val="20"/>
        </w:rPr>
        <w:t>all that</w:t>
      </w:r>
      <w:r w:rsidR="00A53159" w:rsidRPr="003750B8">
        <w:rPr>
          <w:sz w:val="20"/>
          <w:szCs w:val="20"/>
        </w:rPr>
        <w:t xml:space="preserve"> paper </w:t>
      </w:r>
      <w:r w:rsidR="00EF52FF" w:rsidRPr="003750B8">
        <w:rPr>
          <w:sz w:val="20"/>
          <w:szCs w:val="20"/>
        </w:rPr>
        <w:t>with the explicit goal of driving rates lower.</w:t>
      </w:r>
      <w:r w:rsidR="00C3187D" w:rsidRPr="003750B8">
        <w:rPr>
          <w:sz w:val="20"/>
          <w:szCs w:val="20"/>
        </w:rPr>
        <w:t xml:space="preserve">  Uncle Sam doesn’t need to get a return on his money; he’s got a printing</w:t>
      </w:r>
      <w:r w:rsidR="00A53159" w:rsidRPr="003750B8">
        <w:rPr>
          <w:sz w:val="20"/>
          <w:szCs w:val="20"/>
        </w:rPr>
        <w:t xml:space="preserve"> press out in the shed where he</w:t>
      </w:r>
      <w:r w:rsidR="00C3187D" w:rsidRPr="003750B8">
        <w:rPr>
          <w:sz w:val="20"/>
          <w:szCs w:val="20"/>
        </w:rPr>
        <w:t xml:space="preserve"> can print </w:t>
      </w:r>
      <w:r w:rsidR="00A53159" w:rsidRPr="003750B8">
        <w:rPr>
          <w:sz w:val="20"/>
          <w:szCs w:val="20"/>
        </w:rPr>
        <w:t>as much money as he needs (</w:t>
      </w:r>
      <w:r w:rsidR="00C3187D" w:rsidRPr="003750B8">
        <w:rPr>
          <w:sz w:val="20"/>
          <w:szCs w:val="20"/>
        </w:rPr>
        <w:t>and he has</w:t>
      </w:r>
      <w:r w:rsidR="00A53159" w:rsidRPr="003750B8">
        <w:rPr>
          <w:sz w:val="20"/>
          <w:szCs w:val="20"/>
        </w:rPr>
        <w:t>)</w:t>
      </w:r>
      <w:r w:rsidR="00214225" w:rsidRPr="003750B8">
        <w:rPr>
          <w:sz w:val="20"/>
          <w:szCs w:val="20"/>
        </w:rPr>
        <w:t xml:space="preserve">.  </w:t>
      </w:r>
      <w:r w:rsidR="002759D2" w:rsidRPr="003750B8">
        <w:rPr>
          <w:sz w:val="20"/>
          <w:szCs w:val="20"/>
        </w:rPr>
        <w:t xml:space="preserve">And what a </w:t>
      </w:r>
      <w:r w:rsidR="006209AC" w:rsidRPr="003750B8">
        <w:rPr>
          <w:sz w:val="20"/>
          <w:szCs w:val="20"/>
        </w:rPr>
        <w:t>drag</w:t>
      </w:r>
      <w:r w:rsidR="002759D2" w:rsidRPr="003750B8">
        <w:rPr>
          <w:sz w:val="20"/>
          <w:szCs w:val="20"/>
        </w:rPr>
        <w:t xml:space="preserve"> for asset owners, aka: pensions, endowments, foundations, retirees, oh and you too fellow shareholders.</w:t>
      </w:r>
      <w:r w:rsidRPr="003750B8">
        <w:rPr>
          <w:sz w:val="20"/>
          <w:szCs w:val="20"/>
        </w:rPr>
        <w:t xml:space="preserve">  </w:t>
      </w:r>
      <w:r w:rsidR="00C3187D" w:rsidRPr="003750B8">
        <w:rPr>
          <w:sz w:val="20"/>
          <w:szCs w:val="20"/>
        </w:rPr>
        <w:t xml:space="preserve">As Bill Gross of PIMCO (what’s a quarterly investment letter without a reference to Bill Gross right?) puts it in his April </w:t>
      </w:r>
      <w:r w:rsidR="00F121BD" w:rsidRPr="003750B8">
        <w:rPr>
          <w:sz w:val="20"/>
          <w:szCs w:val="20"/>
        </w:rPr>
        <w:t>2012 Investment Outlook: “</w:t>
      </w:r>
      <w:r w:rsidR="00C3187D" w:rsidRPr="003750B8">
        <w:rPr>
          <w:sz w:val="20"/>
          <w:szCs w:val="20"/>
        </w:rPr>
        <w:t>investors are locked up in a financially repressive environment that reduces future returns for all financial assets.”  Simply put, t</w:t>
      </w:r>
      <w:r w:rsidR="00AE2328" w:rsidRPr="003750B8">
        <w:rPr>
          <w:sz w:val="20"/>
          <w:szCs w:val="20"/>
        </w:rPr>
        <w:t>he typical institutional investor needs somewhere between 8 - 10% returns in order to maint</w:t>
      </w:r>
      <w:r w:rsidR="00EF52FF" w:rsidRPr="003750B8">
        <w:rPr>
          <w:sz w:val="20"/>
          <w:szCs w:val="20"/>
        </w:rPr>
        <w:t>ain its</w:t>
      </w:r>
      <w:r w:rsidR="00726768" w:rsidRPr="003750B8">
        <w:rPr>
          <w:sz w:val="20"/>
          <w:szCs w:val="20"/>
        </w:rPr>
        <w:t xml:space="preserve"> spending requirements;</w:t>
      </w:r>
      <w:r w:rsidR="0032061F" w:rsidRPr="003750B8">
        <w:rPr>
          <w:sz w:val="20"/>
          <w:szCs w:val="20"/>
        </w:rPr>
        <w:t xml:space="preserve"> with the 10-yr Treasury yielding around 2</w:t>
      </w:r>
      <w:r w:rsidR="00C3187D" w:rsidRPr="003750B8">
        <w:rPr>
          <w:sz w:val="20"/>
          <w:szCs w:val="20"/>
        </w:rPr>
        <w:t>.15</w:t>
      </w:r>
      <w:r w:rsidR="0032061F" w:rsidRPr="003750B8">
        <w:rPr>
          <w:sz w:val="20"/>
          <w:szCs w:val="20"/>
        </w:rPr>
        <w:t xml:space="preserve">% these days, </w:t>
      </w:r>
      <w:r w:rsidR="00EF52FF" w:rsidRPr="003750B8">
        <w:rPr>
          <w:sz w:val="20"/>
          <w:szCs w:val="20"/>
        </w:rPr>
        <w:t>there is a huge disconnect between required return and what might actual</w:t>
      </w:r>
      <w:r w:rsidR="00F121BD" w:rsidRPr="003750B8">
        <w:rPr>
          <w:sz w:val="20"/>
          <w:szCs w:val="20"/>
        </w:rPr>
        <w:t>ly be available in the market.</w:t>
      </w:r>
    </w:p>
    <w:p w:rsidR="00EF52FF" w:rsidRPr="003750B8" w:rsidRDefault="00EF52FF" w:rsidP="00147257">
      <w:pPr>
        <w:ind w:right="-270"/>
        <w:rPr>
          <w:sz w:val="20"/>
          <w:szCs w:val="20"/>
        </w:rPr>
      </w:pPr>
    </w:p>
    <w:p w:rsidR="00C85F44" w:rsidRPr="003750B8" w:rsidRDefault="00EF52FF" w:rsidP="0045309E">
      <w:pPr>
        <w:ind w:right="-270"/>
        <w:rPr>
          <w:sz w:val="20"/>
          <w:szCs w:val="20"/>
        </w:rPr>
      </w:pPr>
      <w:r w:rsidRPr="003750B8">
        <w:rPr>
          <w:sz w:val="20"/>
          <w:szCs w:val="20"/>
        </w:rPr>
        <w:t>Return expectations are so high, of course</w:t>
      </w:r>
      <w:r w:rsidR="00874105" w:rsidRPr="003750B8">
        <w:rPr>
          <w:sz w:val="20"/>
          <w:szCs w:val="20"/>
        </w:rPr>
        <w:t>,</w:t>
      </w:r>
      <w:r w:rsidRPr="003750B8">
        <w:rPr>
          <w:sz w:val="20"/>
          <w:szCs w:val="20"/>
        </w:rPr>
        <w:t xml:space="preserve"> because the typical asset allocation model is 100% backward looking and the past few decades leading up to the turn of the century—a period of ever compressing yields and spreads—delivered th</w:t>
      </w:r>
      <w:r w:rsidR="006B43A4" w:rsidRPr="003750B8">
        <w:rPr>
          <w:sz w:val="20"/>
          <w:szCs w:val="20"/>
        </w:rPr>
        <w:t>os</w:t>
      </w:r>
      <w:r w:rsidRPr="003750B8">
        <w:rPr>
          <w:sz w:val="20"/>
          <w:szCs w:val="20"/>
        </w:rPr>
        <w:t xml:space="preserve">e types of returns.  </w:t>
      </w:r>
      <w:r w:rsidR="006B43A4" w:rsidRPr="003750B8">
        <w:rPr>
          <w:sz w:val="20"/>
          <w:szCs w:val="20"/>
        </w:rPr>
        <w:t xml:space="preserve">But in the words of Private Hudson, Bill Paxton’s character in the movie </w:t>
      </w:r>
      <w:r w:rsidR="006B43A4" w:rsidRPr="003750B8">
        <w:rPr>
          <w:i/>
          <w:sz w:val="20"/>
          <w:szCs w:val="20"/>
        </w:rPr>
        <w:t>Aliens</w:t>
      </w:r>
      <w:r w:rsidR="006B43A4" w:rsidRPr="003750B8">
        <w:rPr>
          <w:sz w:val="20"/>
          <w:szCs w:val="20"/>
        </w:rPr>
        <w:t xml:space="preserve">: “Game over man, game over.”  </w:t>
      </w:r>
      <w:r w:rsidRPr="003750B8">
        <w:rPr>
          <w:sz w:val="20"/>
          <w:szCs w:val="20"/>
        </w:rPr>
        <w:t xml:space="preserve">We’ve now had </w:t>
      </w:r>
      <w:r w:rsidR="006B43A4" w:rsidRPr="003750B8">
        <w:rPr>
          <w:sz w:val="20"/>
          <w:szCs w:val="20"/>
        </w:rPr>
        <w:t xml:space="preserve">a decade of lots of volatility and 5-ish% returns from both stocks and bonds.  </w:t>
      </w:r>
    </w:p>
    <w:p w:rsidR="00C85F44" w:rsidRPr="003750B8" w:rsidRDefault="00C85F44" w:rsidP="0045309E">
      <w:pPr>
        <w:ind w:right="-270"/>
        <w:rPr>
          <w:sz w:val="20"/>
          <w:szCs w:val="20"/>
        </w:rPr>
      </w:pPr>
    </w:p>
    <w:p w:rsidR="005E044C" w:rsidRPr="003750B8" w:rsidRDefault="00C85F44" w:rsidP="0045309E">
      <w:pPr>
        <w:ind w:right="-270"/>
        <w:rPr>
          <w:sz w:val="20"/>
          <w:szCs w:val="20"/>
        </w:rPr>
      </w:pPr>
      <w:r w:rsidRPr="003750B8">
        <w:rPr>
          <w:sz w:val="20"/>
          <w:szCs w:val="20"/>
        </w:rPr>
        <w:t xml:space="preserve">So what are we doing about this conundrum here at Grandeur Peak Global Advisors?  We are doing lots of screening and lots of research to un-cover those rare companies that we think will offer investors relatively high levels of earnings growth over the coming decade and </w:t>
      </w:r>
      <w:r w:rsidR="00F121BD" w:rsidRPr="003750B8">
        <w:rPr>
          <w:sz w:val="20"/>
          <w:szCs w:val="20"/>
        </w:rPr>
        <w:t>buying the stock only at prices where we think</w:t>
      </w:r>
      <w:r w:rsidRPr="003750B8">
        <w:rPr>
          <w:sz w:val="20"/>
          <w:szCs w:val="20"/>
        </w:rPr>
        <w:t xml:space="preserve"> </w:t>
      </w:r>
      <w:r w:rsidR="00F121BD" w:rsidRPr="003750B8">
        <w:rPr>
          <w:sz w:val="20"/>
          <w:szCs w:val="20"/>
        </w:rPr>
        <w:t>we can get</w:t>
      </w:r>
      <w:r w:rsidRPr="003750B8">
        <w:rPr>
          <w:sz w:val="20"/>
          <w:szCs w:val="20"/>
        </w:rPr>
        <w:t xml:space="preserve"> multiple expansion</w:t>
      </w:r>
      <w:r w:rsidR="00BA6445" w:rsidRPr="003750B8">
        <w:rPr>
          <w:rStyle w:val="FootnoteReference"/>
          <w:sz w:val="20"/>
          <w:szCs w:val="20"/>
        </w:rPr>
        <w:footnoteReference w:id="5"/>
      </w:r>
      <w:r w:rsidRPr="003750B8">
        <w:rPr>
          <w:sz w:val="20"/>
          <w:szCs w:val="20"/>
        </w:rPr>
        <w:t xml:space="preserve"> </w:t>
      </w:r>
      <w:r w:rsidR="001E4E86">
        <w:rPr>
          <w:sz w:val="20"/>
          <w:szCs w:val="20"/>
        </w:rPr>
        <w:t>to boot.  We believe e</w:t>
      </w:r>
      <w:r w:rsidR="00F121BD" w:rsidRPr="003750B8">
        <w:rPr>
          <w:sz w:val="20"/>
          <w:szCs w:val="20"/>
        </w:rPr>
        <w:t>arnings growth + multiple</w:t>
      </w:r>
      <w:r w:rsidRPr="003750B8">
        <w:rPr>
          <w:sz w:val="20"/>
          <w:szCs w:val="20"/>
        </w:rPr>
        <w:t xml:space="preserve"> expansion should equal the kinds of returns</w:t>
      </w:r>
      <w:r w:rsidR="00214092" w:rsidRPr="003750B8">
        <w:rPr>
          <w:sz w:val="20"/>
          <w:szCs w:val="20"/>
        </w:rPr>
        <w:t xml:space="preserve"> that </w:t>
      </w:r>
      <w:r w:rsidR="000D2551" w:rsidRPr="003750B8">
        <w:rPr>
          <w:sz w:val="20"/>
          <w:szCs w:val="20"/>
        </w:rPr>
        <w:t xml:space="preserve">you (and we) </w:t>
      </w:r>
      <w:r w:rsidR="00214092" w:rsidRPr="003750B8">
        <w:rPr>
          <w:sz w:val="20"/>
          <w:szCs w:val="20"/>
        </w:rPr>
        <w:t>need</w:t>
      </w:r>
      <w:r w:rsidR="003B4F1D" w:rsidRPr="003750B8">
        <w:rPr>
          <w:sz w:val="20"/>
          <w:szCs w:val="20"/>
        </w:rPr>
        <w:t xml:space="preserve"> in order</w:t>
      </w:r>
      <w:r w:rsidR="00214092" w:rsidRPr="003750B8">
        <w:rPr>
          <w:sz w:val="20"/>
          <w:szCs w:val="20"/>
        </w:rPr>
        <w:t xml:space="preserve"> to m</w:t>
      </w:r>
      <w:r w:rsidR="000D2551" w:rsidRPr="003750B8">
        <w:rPr>
          <w:sz w:val="20"/>
          <w:szCs w:val="20"/>
        </w:rPr>
        <w:t xml:space="preserve">eet your </w:t>
      </w:r>
      <w:r w:rsidR="003B4F1D" w:rsidRPr="003750B8">
        <w:rPr>
          <w:sz w:val="20"/>
          <w:szCs w:val="20"/>
        </w:rPr>
        <w:t xml:space="preserve">(our) </w:t>
      </w:r>
      <w:r w:rsidR="000D2551" w:rsidRPr="003750B8">
        <w:rPr>
          <w:sz w:val="20"/>
          <w:szCs w:val="20"/>
        </w:rPr>
        <w:t>goals and</w:t>
      </w:r>
      <w:r w:rsidR="00F121BD" w:rsidRPr="003750B8">
        <w:rPr>
          <w:sz w:val="20"/>
          <w:szCs w:val="20"/>
        </w:rPr>
        <w:t>/or</w:t>
      </w:r>
      <w:r w:rsidR="000D2551" w:rsidRPr="003750B8">
        <w:rPr>
          <w:sz w:val="20"/>
          <w:szCs w:val="20"/>
        </w:rPr>
        <w:t xml:space="preserve"> obligations.  Our company-touch tracker (we keep track of all the ways we touch our companies, via on-sight meetings, calls, etc.) continues to expand; we touched 302 companies in</w:t>
      </w:r>
      <w:r w:rsidR="003B4F1D" w:rsidRPr="003750B8">
        <w:rPr>
          <w:sz w:val="20"/>
          <w:szCs w:val="20"/>
        </w:rPr>
        <w:t xml:space="preserve"> the first three months of 2012;</w:t>
      </w:r>
      <w:r w:rsidR="000D2551" w:rsidRPr="003750B8">
        <w:rPr>
          <w:sz w:val="20"/>
          <w:szCs w:val="20"/>
        </w:rPr>
        <w:t xml:space="preserve"> 194 of those touches were on-site company visits.  The team was</w:t>
      </w:r>
      <w:r w:rsidR="00C22546" w:rsidRPr="003750B8">
        <w:rPr>
          <w:sz w:val="20"/>
          <w:szCs w:val="20"/>
        </w:rPr>
        <w:t xml:space="preserve"> in South Carolina, Georgia, </w:t>
      </w:r>
      <w:r w:rsidR="000D2551" w:rsidRPr="003750B8">
        <w:rPr>
          <w:sz w:val="20"/>
          <w:szCs w:val="20"/>
        </w:rPr>
        <w:t>California, Chicago, Boston, Toronto, Quebec, Japan, Taiwan, S</w:t>
      </w:r>
      <w:r w:rsidR="00C22546" w:rsidRPr="003750B8">
        <w:rPr>
          <w:sz w:val="20"/>
          <w:szCs w:val="20"/>
        </w:rPr>
        <w:t>ingapore, and Malaysia</w:t>
      </w:r>
      <w:r w:rsidR="000D2551" w:rsidRPr="003750B8">
        <w:rPr>
          <w:sz w:val="20"/>
          <w:szCs w:val="20"/>
        </w:rPr>
        <w:t>.</w:t>
      </w:r>
      <w:r w:rsidR="009D3654" w:rsidRPr="003750B8">
        <w:rPr>
          <w:sz w:val="20"/>
          <w:szCs w:val="20"/>
        </w:rPr>
        <w:t xml:space="preserve">  And guess what?  We’re finding what we think are great opportunities.</w:t>
      </w:r>
    </w:p>
    <w:p w:rsidR="00776AC3" w:rsidRPr="003750B8" w:rsidRDefault="00776AC3" w:rsidP="0045309E">
      <w:pPr>
        <w:ind w:right="-270"/>
        <w:rPr>
          <w:sz w:val="20"/>
          <w:szCs w:val="20"/>
        </w:rPr>
      </w:pPr>
    </w:p>
    <w:p w:rsidR="000D2551" w:rsidRPr="003750B8" w:rsidRDefault="000D2551" w:rsidP="00727E1B">
      <w:pPr>
        <w:ind w:right="-270"/>
        <w:rPr>
          <w:b/>
          <w:bCs/>
          <w:i/>
          <w:sz w:val="20"/>
          <w:szCs w:val="20"/>
        </w:rPr>
      </w:pPr>
      <w:r w:rsidRPr="003750B8">
        <w:rPr>
          <w:b/>
          <w:bCs/>
          <w:i/>
          <w:sz w:val="20"/>
          <w:szCs w:val="20"/>
        </w:rPr>
        <w:t>Notes from the Road</w:t>
      </w:r>
    </w:p>
    <w:p w:rsidR="00971A63" w:rsidRPr="003750B8" w:rsidRDefault="00F121BD" w:rsidP="000D2551">
      <w:pPr>
        <w:ind w:right="-270"/>
        <w:rPr>
          <w:bCs/>
          <w:sz w:val="20"/>
          <w:szCs w:val="20"/>
        </w:rPr>
      </w:pPr>
      <w:r w:rsidRPr="003750B8">
        <w:rPr>
          <w:bCs/>
          <w:sz w:val="20"/>
          <w:szCs w:val="20"/>
        </w:rPr>
        <w:t>Of all the places we</w:t>
      </w:r>
      <w:r w:rsidR="006E634B" w:rsidRPr="003750B8">
        <w:rPr>
          <w:bCs/>
          <w:sz w:val="20"/>
          <w:szCs w:val="20"/>
        </w:rPr>
        <w:t xml:space="preserve"> visited in Q1 w</w:t>
      </w:r>
      <w:r w:rsidR="000D2551" w:rsidRPr="003750B8">
        <w:rPr>
          <w:bCs/>
          <w:sz w:val="20"/>
          <w:szCs w:val="20"/>
        </w:rPr>
        <w:t xml:space="preserve">e thought </w:t>
      </w:r>
      <w:r w:rsidR="006E634B" w:rsidRPr="003750B8">
        <w:rPr>
          <w:bCs/>
          <w:sz w:val="20"/>
          <w:szCs w:val="20"/>
        </w:rPr>
        <w:t xml:space="preserve">Malaysia might </w:t>
      </w:r>
      <w:r w:rsidR="005340D6" w:rsidRPr="003750B8">
        <w:rPr>
          <w:bCs/>
          <w:sz w:val="20"/>
          <w:szCs w:val="20"/>
        </w:rPr>
        <w:t xml:space="preserve">be </w:t>
      </w:r>
      <w:r w:rsidR="006E634B" w:rsidRPr="003750B8">
        <w:rPr>
          <w:bCs/>
          <w:sz w:val="20"/>
          <w:szCs w:val="20"/>
        </w:rPr>
        <w:t xml:space="preserve">of particular interest to share with you. </w:t>
      </w:r>
      <w:r w:rsidR="000D2551" w:rsidRPr="003750B8">
        <w:rPr>
          <w:bCs/>
          <w:sz w:val="20"/>
          <w:szCs w:val="20"/>
        </w:rPr>
        <w:t xml:space="preserve"> </w:t>
      </w:r>
      <w:r w:rsidR="00971A63" w:rsidRPr="003750B8">
        <w:rPr>
          <w:bCs/>
          <w:sz w:val="20"/>
          <w:szCs w:val="20"/>
        </w:rPr>
        <w:t>You might think that the countries of South</w:t>
      </w:r>
      <w:r w:rsidR="000D2551" w:rsidRPr="003750B8">
        <w:rPr>
          <w:bCs/>
          <w:sz w:val="20"/>
          <w:szCs w:val="20"/>
        </w:rPr>
        <w:t xml:space="preserve"> East Asia </w:t>
      </w:r>
      <w:r w:rsidR="00971A63" w:rsidRPr="003750B8">
        <w:rPr>
          <w:bCs/>
          <w:sz w:val="20"/>
          <w:szCs w:val="20"/>
        </w:rPr>
        <w:t>are far</w:t>
      </w:r>
      <w:r w:rsidRPr="003750B8">
        <w:rPr>
          <w:bCs/>
          <w:sz w:val="20"/>
          <w:szCs w:val="20"/>
        </w:rPr>
        <w:t xml:space="preserve"> less developed</w:t>
      </w:r>
      <w:r w:rsidR="00971A63" w:rsidRPr="003750B8">
        <w:rPr>
          <w:bCs/>
          <w:sz w:val="20"/>
          <w:szCs w:val="20"/>
        </w:rPr>
        <w:t xml:space="preserve"> in terms of capitalism and markets.  Amy and Spence spent </w:t>
      </w:r>
      <w:r w:rsidR="006A3C0D" w:rsidRPr="003750B8">
        <w:rPr>
          <w:bCs/>
          <w:sz w:val="20"/>
          <w:szCs w:val="20"/>
        </w:rPr>
        <w:t>about three weeks in Singapore and Malaysia</w:t>
      </w:r>
      <w:r w:rsidR="00971A63" w:rsidRPr="003750B8">
        <w:rPr>
          <w:bCs/>
          <w:sz w:val="20"/>
          <w:szCs w:val="20"/>
        </w:rPr>
        <w:t xml:space="preserve"> and what follows are Spence’s impressions of Kuala Lumpur</w:t>
      </w:r>
      <w:r w:rsidRPr="003750B8">
        <w:rPr>
          <w:bCs/>
          <w:sz w:val="20"/>
          <w:szCs w:val="20"/>
        </w:rPr>
        <w:t>, Malaysia</w:t>
      </w:r>
      <w:r w:rsidR="00971A63" w:rsidRPr="003750B8">
        <w:rPr>
          <w:bCs/>
          <w:sz w:val="20"/>
          <w:szCs w:val="20"/>
        </w:rPr>
        <w:t>:</w:t>
      </w:r>
    </w:p>
    <w:p w:rsidR="00971A63" w:rsidRPr="003750B8" w:rsidRDefault="00971A63" w:rsidP="000D2551">
      <w:pPr>
        <w:ind w:right="-270"/>
        <w:rPr>
          <w:bCs/>
          <w:sz w:val="20"/>
          <w:szCs w:val="20"/>
        </w:rPr>
      </w:pPr>
    </w:p>
    <w:p w:rsidR="000D2551" w:rsidRPr="003750B8" w:rsidRDefault="009D3654" w:rsidP="00971A63">
      <w:pPr>
        <w:ind w:left="360" w:right="180"/>
        <w:jc w:val="both"/>
        <w:rPr>
          <w:bCs/>
          <w:i/>
          <w:sz w:val="20"/>
          <w:szCs w:val="20"/>
        </w:rPr>
      </w:pPr>
      <w:r w:rsidRPr="003750B8">
        <w:rPr>
          <w:bCs/>
          <w:i/>
          <w:sz w:val="20"/>
          <w:szCs w:val="20"/>
        </w:rPr>
        <w:t xml:space="preserve">I’ve been reading regional </w:t>
      </w:r>
      <w:r w:rsidR="00971A63" w:rsidRPr="003750B8">
        <w:rPr>
          <w:bCs/>
          <w:i/>
          <w:sz w:val="20"/>
          <w:szCs w:val="20"/>
        </w:rPr>
        <w:t>news</w:t>
      </w:r>
      <w:r w:rsidR="000D2551" w:rsidRPr="003750B8">
        <w:rPr>
          <w:bCs/>
          <w:i/>
          <w:sz w:val="20"/>
          <w:szCs w:val="20"/>
        </w:rPr>
        <w:t>paper</w:t>
      </w:r>
      <w:r w:rsidRPr="003750B8">
        <w:rPr>
          <w:bCs/>
          <w:i/>
          <w:sz w:val="20"/>
          <w:szCs w:val="20"/>
        </w:rPr>
        <w:t>s</w:t>
      </w:r>
      <w:r w:rsidR="000D2551" w:rsidRPr="003750B8">
        <w:rPr>
          <w:bCs/>
          <w:i/>
          <w:sz w:val="20"/>
          <w:szCs w:val="20"/>
        </w:rPr>
        <w:t xml:space="preserve"> everyday and am consistently surprised by how advanced and glob</w:t>
      </w:r>
      <w:r w:rsidR="00971A63" w:rsidRPr="003750B8">
        <w:rPr>
          <w:bCs/>
          <w:i/>
          <w:sz w:val="20"/>
          <w:szCs w:val="20"/>
        </w:rPr>
        <w:t>al</w:t>
      </w:r>
      <w:r w:rsidRPr="003750B8">
        <w:rPr>
          <w:bCs/>
          <w:i/>
          <w:sz w:val="20"/>
          <w:szCs w:val="20"/>
        </w:rPr>
        <w:t>ly</w:t>
      </w:r>
      <w:r w:rsidR="00971A63" w:rsidRPr="003750B8">
        <w:rPr>
          <w:bCs/>
          <w:i/>
          <w:sz w:val="20"/>
          <w:szCs w:val="20"/>
        </w:rPr>
        <w:t xml:space="preserve"> minded these countries are. </w:t>
      </w:r>
      <w:r w:rsidR="000D2551" w:rsidRPr="003750B8">
        <w:rPr>
          <w:bCs/>
          <w:i/>
          <w:sz w:val="20"/>
          <w:szCs w:val="20"/>
        </w:rPr>
        <w:t xml:space="preserve"> My guess is that the population diversity demands the a</w:t>
      </w:r>
      <w:r w:rsidR="00971A63" w:rsidRPr="003750B8">
        <w:rPr>
          <w:bCs/>
          <w:i/>
          <w:sz w:val="20"/>
          <w:szCs w:val="20"/>
        </w:rPr>
        <w:t xml:space="preserve">ll-encompassing information.  </w:t>
      </w:r>
      <w:r w:rsidR="000D2551" w:rsidRPr="003750B8">
        <w:rPr>
          <w:bCs/>
          <w:i/>
          <w:sz w:val="20"/>
          <w:szCs w:val="20"/>
        </w:rPr>
        <w:t>From a diversity standpoint, Ma</w:t>
      </w:r>
      <w:r w:rsidR="006A3C0D" w:rsidRPr="003750B8">
        <w:rPr>
          <w:bCs/>
          <w:i/>
          <w:sz w:val="20"/>
          <w:szCs w:val="20"/>
        </w:rPr>
        <w:t xml:space="preserve">laysia covers the gamut; there are a </w:t>
      </w:r>
      <w:r w:rsidR="000D2551" w:rsidRPr="003750B8">
        <w:rPr>
          <w:bCs/>
          <w:i/>
          <w:sz w:val="20"/>
          <w:szCs w:val="20"/>
        </w:rPr>
        <w:t>lot of different cultures</w:t>
      </w:r>
      <w:r w:rsidR="00971A63" w:rsidRPr="003750B8">
        <w:rPr>
          <w:bCs/>
          <w:i/>
          <w:sz w:val="20"/>
          <w:szCs w:val="20"/>
        </w:rPr>
        <w:t xml:space="preserve"> </w:t>
      </w:r>
      <w:r w:rsidR="006A3C0D" w:rsidRPr="003750B8">
        <w:rPr>
          <w:bCs/>
          <w:i/>
          <w:sz w:val="20"/>
          <w:szCs w:val="20"/>
        </w:rPr>
        <w:t xml:space="preserve">and they seem to be </w:t>
      </w:r>
      <w:r w:rsidR="00971A63" w:rsidRPr="003750B8">
        <w:rPr>
          <w:bCs/>
          <w:i/>
          <w:sz w:val="20"/>
          <w:szCs w:val="20"/>
        </w:rPr>
        <w:t xml:space="preserve">getting along nicely. </w:t>
      </w:r>
      <w:r w:rsidR="000D2551" w:rsidRPr="003750B8">
        <w:rPr>
          <w:bCs/>
          <w:i/>
          <w:sz w:val="20"/>
          <w:szCs w:val="20"/>
        </w:rPr>
        <w:t xml:space="preserve"> </w:t>
      </w:r>
      <w:r w:rsidR="00971A63" w:rsidRPr="003750B8">
        <w:rPr>
          <w:bCs/>
          <w:i/>
          <w:sz w:val="20"/>
          <w:szCs w:val="20"/>
        </w:rPr>
        <w:t xml:space="preserve">On the </w:t>
      </w:r>
      <w:r w:rsidR="000D2551" w:rsidRPr="003750B8">
        <w:rPr>
          <w:bCs/>
          <w:i/>
          <w:sz w:val="20"/>
          <w:szCs w:val="20"/>
        </w:rPr>
        <w:t>bus</w:t>
      </w:r>
      <w:r w:rsidR="00971A63" w:rsidRPr="003750B8">
        <w:rPr>
          <w:bCs/>
          <w:i/>
          <w:sz w:val="20"/>
          <w:szCs w:val="20"/>
        </w:rPr>
        <w:t xml:space="preserve">es and </w:t>
      </w:r>
      <w:r w:rsidR="000D2551" w:rsidRPr="003750B8">
        <w:rPr>
          <w:bCs/>
          <w:i/>
          <w:sz w:val="20"/>
          <w:szCs w:val="20"/>
        </w:rPr>
        <w:t>train</w:t>
      </w:r>
      <w:r w:rsidR="00971A63" w:rsidRPr="003750B8">
        <w:rPr>
          <w:bCs/>
          <w:i/>
          <w:sz w:val="20"/>
          <w:szCs w:val="20"/>
        </w:rPr>
        <w:t xml:space="preserve">s </w:t>
      </w:r>
      <w:r w:rsidR="000D2551" w:rsidRPr="003750B8">
        <w:rPr>
          <w:bCs/>
          <w:i/>
          <w:sz w:val="20"/>
          <w:szCs w:val="20"/>
        </w:rPr>
        <w:t>whenever a</w:t>
      </w:r>
      <w:r w:rsidR="00971A63" w:rsidRPr="003750B8">
        <w:rPr>
          <w:bCs/>
          <w:i/>
          <w:sz w:val="20"/>
          <w:szCs w:val="20"/>
        </w:rPr>
        <w:t xml:space="preserve"> relatively older person steps on</w:t>
      </w:r>
      <w:r w:rsidRPr="003750B8">
        <w:rPr>
          <w:bCs/>
          <w:i/>
          <w:sz w:val="20"/>
          <w:szCs w:val="20"/>
        </w:rPr>
        <w:t>,</w:t>
      </w:r>
      <w:r w:rsidR="00971A63" w:rsidRPr="003750B8">
        <w:rPr>
          <w:bCs/>
          <w:i/>
          <w:sz w:val="20"/>
          <w:szCs w:val="20"/>
        </w:rPr>
        <w:t xml:space="preserve"> someone will</w:t>
      </w:r>
      <w:r w:rsidR="000D2551" w:rsidRPr="003750B8">
        <w:rPr>
          <w:bCs/>
          <w:i/>
          <w:sz w:val="20"/>
          <w:szCs w:val="20"/>
        </w:rPr>
        <w:t xml:space="preserve"> immediately offer up a </w:t>
      </w:r>
      <w:r w:rsidR="00971A63" w:rsidRPr="003750B8">
        <w:rPr>
          <w:bCs/>
          <w:i/>
          <w:sz w:val="20"/>
          <w:szCs w:val="20"/>
        </w:rPr>
        <w:t>seat regardless of ethnicity or appearance.</w:t>
      </w:r>
    </w:p>
    <w:p w:rsidR="000D2551" w:rsidRPr="003750B8" w:rsidRDefault="000D2551" w:rsidP="00971A63">
      <w:pPr>
        <w:ind w:left="360" w:right="180"/>
        <w:jc w:val="both"/>
        <w:rPr>
          <w:bCs/>
          <w:i/>
          <w:sz w:val="20"/>
          <w:szCs w:val="20"/>
        </w:rPr>
      </w:pPr>
      <w:r w:rsidRPr="003750B8">
        <w:rPr>
          <w:bCs/>
          <w:i/>
          <w:sz w:val="20"/>
          <w:szCs w:val="20"/>
        </w:rPr>
        <w:t xml:space="preserve"> </w:t>
      </w:r>
    </w:p>
    <w:p w:rsidR="000D2551" w:rsidRPr="003750B8" w:rsidRDefault="000D2551" w:rsidP="00971A63">
      <w:pPr>
        <w:ind w:left="360" w:right="180"/>
        <w:jc w:val="both"/>
        <w:rPr>
          <w:bCs/>
          <w:i/>
          <w:sz w:val="20"/>
          <w:szCs w:val="20"/>
        </w:rPr>
      </w:pPr>
      <w:r w:rsidRPr="003750B8">
        <w:rPr>
          <w:bCs/>
          <w:i/>
          <w:sz w:val="20"/>
          <w:szCs w:val="20"/>
        </w:rPr>
        <w:t>The economy feels very robust.  I spent Saturday with an old man of means.  He spoke about business most of the time and</w:t>
      </w:r>
      <w:r w:rsidR="00971A63" w:rsidRPr="003750B8">
        <w:rPr>
          <w:bCs/>
          <w:i/>
          <w:sz w:val="20"/>
          <w:szCs w:val="20"/>
        </w:rPr>
        <w:t xml:space="preserve"> continually reminded me that the</w:t>
      </w:r>
      <w:r w:rsidRPr="003750B8">
        <w:rPr>
          <w:bCs/>
          <w:i/>
          <w:sz w:val="20"/>
          <w:szCs w:val="20"/>
        </w:rPr>
        <w:t xml:space="preserve"> Malaysia</w:t>
      </w:r>
      <w:r w:rsidR="00971A63" w:rsidRPr="003750B8">
        <w:rPr>
          <w:bCs/>
          <w:i/>
          <w:sz w:val="20"/>
          <w:szCs w:val="20"/>
        </w:rPr>
        <w:t xml:space="preserve">ns have always been capitalists.  </w:t>
      </w:r>
      <w:r w:rsidRPr="003750B8">
        <w:rPr>
          <w:bCs/>
          <w:i/>
          <w:sz w:val="20"/>
          <w:szCs w:val="20"/>
        </w:rPr>
        <w:t xml:space="preserve">The people seem hardworking and driven. </w:t>
      </w:r>
      <w:r w:rsidR="00971A63" w:rsidRPr="003750B8">
        <w:rPr>
          <w:bCs/>
          <w:i/>
          <w:sz w:val="20"/>
          <w:szCs w:val="20"/>
        </w:rPr>
        <w:t xml:space="preserve"> </w:t>
      </w:r>
      <w:r w:rsidRPr="003750B8">
        <w:rPr>
          <w:bCs/>
          <w:i/>
          <w:sz w:val="20"/>
          <w:szCs w:val="20"/>
        </w:rPr>
        <w:t>Unle</w:t>
      </w:r>
      <w:r w:rsidR="00971A63" w:rsidRPr="003750B8">
        <w:rPr>
          <w:bCs/>
          <w:i/>
          <w:sz w:val="20"/>
          <w:szCs w:val="20"/>
        </w:rPr>
        <w:t>ss the numbers are inaccurate Malaysia</w:t>
      </w:r>
      <w:r w:rsidRPr="003750B8">
        <w:rPr>
          <w:bCs/>
          <w:i/>
          <w:sz w:val="20"/>
          <w:szCs w:val="20"/>
        </w:rPr>
        <w:t xml:space="preserve"> is a place with only 3% unemployment and </w:t>
      </w:r>
      <w:r w:rsidR="00971A63" w:rsidRPr="003750B8">
        <w:rPr>
          <w:bCs/>
          <w:i/>
          <w:sz w:val="20"/>
          <w:szCs w:val="20"/>
        </w:rPr>
        <w:t xml:space="preserve">a </w:t>
      </w:r>
      <w:r w:rsidRPr="003750B8">
        <w:rPr>
          <w:bCs/>
          <w:i/>
          <w:sz w:val="20"/>
          <w:szCs w:val="20"/>
        </w:rPr>
        <w:t>high p</w:t>
      </w:r>
      <w:r w:rsidR="00971A63" w:rsidRPr="003750B8">
        <w:rPr>
          <w:bCs/>
          <w:i/>
          <w:sz w:val="20"/>
          <w:szCs w:val="20"/>
        </w:rPr>
        <w:t>ersonal savings rate.  S</w:t>
      </w:r>
      <w:r w:rsidRPr="003750B8">
        <w:rPr>
          <w:bCs/>
          <w:i/>
          <w:sz w:val="20"/>
          <w:szCs w:val="20"/>
        </w:rPr>
        <w:t>omething like 50% of the population is under 25 and the consumption is pretty staggering.  All of downtown K</w:t>
      </w:r>
      <w:r w:rsidR="00971A63" w:rsidRPr="003750B8">
        <w:rPr>
          <w:bCs/>
          <w:i/>
          <w:sz w:val="20"/>
          <w:szCs w:val="20"/>
        </w:rPr>
        <w:t xml:space="preserve">uala </w:t>
      </w:r>
      <w:r w:rsidRPr="003750B8">
        <w:rPr>
          <w:bCs/>
          <w:i/>
          <w:sz w:val="20"/>
          <w:szCs w:val="20"/>
        </w:rPr>
        <w:t>L</w:t>
      </w:r>
      <w:r w:rsidR="00971A63" w:rsidRPr="003750B8">
        <w:rPr>
          <w:bCs/>
          <w:i/>
          <w:sz w:val="20"/>
          <w:szCs w:val="20"/>
        </w:rPr>
        <w:t>umpur</w:t>
      </w:r>
      <w:r w:rsidRPr="003750B8">
        <w:rPr>
          <w:bCs/>
          <w:i/>
          <w:sz w:val="20"/>
          <w:szCs w:val="20"/>
        </w:rPr>
        <w:t xml:space="preserve"> is malls and though some are slower than others</w:t>
      </w:r>
      <w:r w:rsidR="009D3654" w:rsidRPr="003750B8">
        <w:rPr>
          <w:bCs/>
          <w:i/>
          <w:sz w:val="20"/>
          <w:szCs w:val="20"/>
        </w:rPr>
        <w:t>,</w:t>
      </w:r>
      <w:r w:rsidRPr="003750B8">
        <w:rPr>
          <w:bCs/>
          <w:i/>
          <w:sz w:val="20"/>
          <w:szCs w:val="20"/>
        </w:rPr>
        <w:t xml:space="preserve"> they all l</w:t>
      </w:r>
      <w:r w:rsidR="00971A63" w:rsidRPr="003750B8">
        <w:rPr>
          <w:bCs/>
          <w:i/>
          <w:sz w:val="20"/>
          <w:szCs w:val="20"/>
        </w:rPr>
        <w:t>ook better off than malls in the typical US city</w:t>
      </w:r>
      <w:r w:rsidRPr="003750B8">
        <w:rPr>
          <w:bCs/>
          <w:i/>
          <w:sz w:val="20"/>
          <w:szCs w:val="20"/>
        </w:rPr>
        <w:t xml:space="preserve">. </w:t>
      </w:r>
    </w:p>
    <w:p w:rsidR="000D2551" w:rsidRPr="003750B8" w:rsidRDefault="000D2551" w:rsidP="00971A63">
      <w:pPr>
        <w:ind w:left="360" w:right="180"/>
        <w:jc w:val="both"/>
        <w:rPr>
          <w:bCs/>
          <w:i/>
          <w:sz w:val="20"/>
          <w:szCs w:val="20"/>
        </w:rPr>
      </w:pPr>
      <w:r w:rsidRPr="003750B8">
        <w:rPr>
          <w:bCs/>
          <w:i/>
          <w:sz w:val="20"/>
          <w:szCs w:val="20"/>
        </w:rPr>
        <w:t xml:space="preserve"> </w:t>
      </w:r>
    </w:p>
    <w:p w:rsidR="000D2551" w:rsidRPr="003750B8" w:rsidRDefault="000D2551" w:rsidP="00971A63">
      <w:pPr>
        <w:ind w:left="360" w:right="180"/>
        <w:jc w:val="both"/>
        <w:rPr>
          <w:bCs/>
          <w:i/>
          <w:sz w:val="20"/>
          <w:szCs w:val="20"/>
        </w:rPr>
      </w:pPr>
      <w:r w:rsidRPr="003750B8">
        <w:rPr>
          <w:bCs/>
          <w:i/>
          <w:sz w:val="20"/>
          <w:szCs w:val="20"/>
        </w:rPr>
        <w:t>The gov</w:t>
      </w:r>
      <w:r w:rsidR="00971A63" w:rsidRPr="003750B8">
        <w:rPr>
          <w:bCs/>
          <w:i/>
          <w:sz w:val="20"/>
          <w:szCs w:val="20"/>
        </w:rPr>
        <w:t>ernmen</w:t>
      </w:r>
      <w:r w:rsidRPr="003750B8">
        <w:rPr>
          <w:bCs/>
          <w:i/>
          <w:sz w:val="20"/>
          <w:szCs w:val="20"/>
        </w:rPr>
        <w:t>t seems to be in tune with the demands of the public as well.  The ruling party lost their 2/3 majority in ’08 and</w:t>
      </w:r>
      <w:r w:rsidR="00C85045" w:rsidRPr="003750B8">
        <w:rPr>
          <w:bCs/>
          <w:i/>
          <w:sz w:val="20"/>
          <w:szCs w:val="20"/>
        </w:rPr>
        <w:t>,</w:t>
      </w:r>
      <w:r w:rsidRPr="003750B8">
        <w:rPr>
          <w:bCs/>
          <w:i/>
          <w:sz w:val="20"/>
          <w:szCs w:val="20"/>
        </w:rPr>
        <w:t xml:space="preserve"> at least on the surface</w:t>
      </w:r>
      <w:r w:rsidR="00C85045" w:rsidRPr="003750B8">
        <w:rPr>
          <w:bCs/>
          <w:i/>
          <w:sz w:val="20"/>
          <w:szCs w:val="20"/>
        </w:rPr>
        <w:t>,</w:t>
      </w:r>
      <w:r w:rsidRPr="003750B8">
        <w:rPr>
          <w:bCs/>
          <w:i/>
          <w:sz w:val="20"/>
          <w:szCs w:val="20"/>
        </w:rPr>
        <w:t xml:space="preserve"> is stepping up their image.  It</w:t>
      </w:r>
      <w:r w:rsidR="00FE6544" w:rsidRPr="003750B8">
        <w:rPr>
          <w:bCs/>
          <w:i/>
          <w:sz w:val="20"/>
          <w:szCs w:val="20"/>
        </w:rPr>
        <w:t>’</w:t>
      </w:r>
      <w:r w:rsidRPr="003750B8">
        <w:rPr>
          <w:bCs/>
          <w:i/>
          <w:sz w:val="20"/>
          <w:szCs w:val="20"/>
        </w:rPr>
        <w:t>s an election year and I’d say politi</w:t>
      </w:r>
      <w:r w:rsidR="00FE6544" w:rsidRPr="003750B8">
        <w:rPr>
          <w:bCs/>
          <w:i/>
          <w:sz w:val="20"/>
          <w:szCs w:val="20"/>
        </w:rPr>
        <w:t>cally Malaysia is running well; t</w:t>
      </w:r>
      <w:r w:rsidRPr="003750B8">
        <w:rPr>
          <w:bCs/>
          <w:i/>
          <w:sz w:val="20"/>
          <w:szCs w:val="20"/>
        </w:rPr>
        <w:t xml:space="preserve">he </w:t>
      </w:r>
      <w:r w:rsidR="00FE6544" w:rsidRPr="003750B8">
        <w:rPr>
          <w:bCs/>
          <w:i/>
          <w:sz w:val="20"/>
          <w:szCs w:val="20"/>
        </w:rPr>
        <w:t>ruling party seems responsive.  For example, t</w:t>
      </w:r>
      <w:r w:rsidRPr="003750B8">
        <w:rPr>
          <w:bCs/>
          <w:i/>
          <w:sz w:val="20"/>
          <w:szCs w:val="20"/>
        </w:rPr>
        <w:t>here was a big flood on Tuesday that had a lot of folks complaining.  In today</w:t>
      </w:r>
      <w:r w:rsidR="00FE6544" w:rsidRPr="003750B8">
        <w:rPr>
          <w:bCs/>
          <w:i/>
          <w:sz w:val="20"/>
          <w:szCs w:val="20"/>
        </w:rPr>
        <w:t>’</w:t>
      </w:r>
      <w:r w:rsidRPr="003750B8">
        <w:rPr>
          <w:bCs/>
          <w:i/>
          <w:sz w:val="20"/>
          <w:szCs w:val="20"/>
        </w:rPr>
        <w:t>s paper the gov</w:t>
      </w:r>
      <w:r w:rsidR="00FE6544" w:rsidRPr="003750B8">
        <w:rPr>
          <w:bCs/>
          <w:i/>
          <w:sz w:val="20"/>
          <w:szCs w:val="20"/>
        </w:rPr>
        <w:t>ernmen</w:t>
      </w:r>
      <w:r w:rsidR="00C85045" w:rsidRPr="003750B8">
        <w:rPr>
          <w:bCs/>
          <w:i/>
          <w:sz w:val="20"/>
          <w:szCs w:val="20"/>
        </w:rPr>
        <w:t>t has already communicat</w:t>
      </w:r>
      <w:r w:rsidRPr="003750B8">
        <w:rPr>
          <w:bCs/>
          <w:i/>
          <w:sz w:val="20"/>
          <w:szCs w:val="20"/>
        </w:rPr>
        <w:t>ed a defined plan for fixing th</w:t>
      </w:r>
      <w:r w:rsidR="00FE6544" w:rsidRPr="003750B8">
        <w:rPr>
          <w:bCs/>
          <w:i/>
          <w:sz w:val="20"/>
          <w:szCs w:val="20"/>
        </w:rPr>
        <w:t>e situation.</w:t>
      </w:r>
    </w:p>
    <w:p w:rsidR="000D2551" w:rsidRPr="003750B8" w:rsidRDefault="000D2551" w:rsidP="00971A63">
      <w:pPr>
        <w:ind w:left="360" w:right="180"/>
        <w:jc w:val="both"/>
        <w:rPr>
          <w:bCs/>
          <w:i/>
          <w:sz w:val="20"/>
          <w:szCs w:val="20"/>
        </w:rPr>
      </w:pPr>
      <w:r w:rsidRPr="003750B8">
        <w:rPr>
          <w:bCs/>
          <w:i/>
          <w:sz w:val="20"/>
          <w:szCs w:val="20"/>
        </w:rPr>
        <w:t xml:space="preserve"> </w:t>
      </w:r>
    </w:p>
    <w:p w:rsidR="000D2551" w:rsidRPr="003750B8" w:rsidRDefault="00FE6544" w:rsidP="00971A63">
      <w:pPr>
        <w:ind w:left="360" w:right="180"/>
        <w:jc w:val="both"/>
        <w:rPr>
          <w:bCs/>
          <w:i/>
          <w:sz w:val="20"/>
          <w:szCs w:val="20"/>
        </w:rPr>
      </w:pPr>
      <w:r w:rsidRPr="003750B8">
        <w:rPr>
          <w:bCs/>
          <w:i/>
          <w:sz w:val="20"/>
          <w:szCs w:val="20"/>
        </w:rPr>
        <w:lastRenderedPageBreak/>
        <w:t>Looking forward</w:t>
      </w:r>
      <w:r w:rsidR="00C85045" w:rsidRPr="003750B8">
        <w:rPr>
          <w:bCs/>
          <w:i/>
          <w:sz w:val="20"/>
          <w:szCs w:val="20"/>
        </w:rPr>
        <w:t>,</w:t>
      </w:r>
      <w:r w:rsidRPr="003750B8">
        <w:rPr>
          <w:bCs/>
          <w:i/>
          <w:sz w:val="20"/>
          <w:szCs w:val="20"/>
        </w:rPr>
        <w:t xml:space="preserve"> </w:t>
      </w:r>
      <w:r w:rsidR="000D2551" w:rsidRPr="003750B8">
        <w:rPr>
          <w:bCs/>
          <w:i/>
          <w:sz w:val="20"/>
          <w:szCs w:val="20"/>
        </w:rPr>
        <w:t>the gov</w:t>
      </w:r>
      <w:r w:rsidRPr="003750B8">
        <w:rPr>
          <w:bCs/>
          <w:i/>
          <w:sz w:val="20"/>
          <w:szCs w:val="20"/>
        </w:rPr>
        <w:t>ernmen</w:t>
      </w:r>
      <w:r w:rsidR="000D2551" w:rsidRPr="003750B8">
        <w:rPr>
          <w:bCs/>
          <w:i/>
          <w:sz w:val="20"/>
          <w:szCs w:val="20"/>
        </w:rPr>
        <w:t>t has made it a goal to reach “de</w:t>
      </w:r>
      <w:r w:rsidRPr="003750B8">
        <w:rPr>
          <w:bCs/>
          <w:i/>
          <w:sz w:val="20"/>
          <w:szCs w:val="20"/>
        </w:rPr>
        <w:t xml:space="preserve">veloped country” status by 2020. </w:t>
      </w:r>
      <w:r w:rsidR="00C85045" w:rsidRPr="003750B8">
        <w:rPr>
          <w:bCs/>
          <w:i/>
          <w:sz w:val="20"/>
          <w:szCs w:val="20"/>
        </w:rPr>
        <w:t xml:space="preserve"> </w:t>
      </w:r>
      <w:r w:rsidRPr="003750B8">
        <w:rPr>
          <w:bCs/>
          <w:i/>
          <w:sz w:val="20"/>
          <w:szCs w:val="20"/>
        </w:rPr>
        <w:t>T</w:t>
      </w:r>
      <w:r w:rsidR="000D2551" w:rsidRPr="003750B8">
        <w:rPr>
          <w:bCs/>
          <w:i/>
          <w:sz w:val="20"/>
          <w:szCs w:val="20"/>
        </w:rPr>
        <w:t>here are at least 5</w:t>
      </w:r>
      <w:r w:rsidRPr="003750B8">
        <w:rPr>
          <w:bCs/>
          <w:i/>
          <w:sz w:val="20"/>
          <w:szCs w:val="20"/>
        </w:rPr>
        <w:t xml:space="preserve"> </w:t>
      </w:r>
      <w:r w:rsidR="000D2551" w:rsidRPr="003750B8">
        <w:rPr>
          <w:bCs/>
          <w:i/>
          <w:sz w:val="20"/>
          <w:szCs w:val="20"/>
        </w:rPr>
        <w:t>-</w:t>
      </w:r>
      <w:r w:rsidRPr="003750B8">
        <w:rPr>
          <w:bCs/>
          <w:i/>
          <w:sz w:val="20"/>
          <w:szCs w:val="20"/>
        </w:rPr>
        <w:t xml:space="preserve"> </w:t>
      </w:r>
      <w:r w:rsidR="000D2551" w:rsidRPr="003750B8">
        <w:rPr>
          <w:bCs/>
          <w:i/>
          <w:sz w:val="20"/>
          <w:szCs w:val="20"/>
        </w:rPr>
        <w:t xml:space="preserve">10 references </w:t>
      </w:r>
      <w:r w:rsidRPr="003750B8">
        <w:rPr>
          <w:bCs/>
          <w:i/>
          <w:sz w:val="20"/>
          <w:szCs w:val="20"/>
        </w:rPr>
        <w:t xml:space="preserve">in the daily paper </w:t>
      </w:r>
      <w:r w:rsidR="000D2551" w:rsidRPr="003750B8">
        <w:rPr>
          <w:bCs/>
          <w:i/>
          <w:sz w:val="20"/>
          <w:szCs w:val="20"/>
        </w:rPr>
        <w:t xml:space="preserve">to </w:t>
      </w:r>
      <w:r w:rsidRPr="003750B8">
        <w:rPr>
          <w:bCs/>
          <w:i/>
          <w:sz w:val="20"/>
          <w:szCs w:val="20"/>
        </w:rPr>
        <w:t xml:space="preserve">this </w:t>
      </w:r>
      <w:r w:rsidR="000D2551" w:rsidRPr="003750B8">
        <w:rPr>
          <w:bCs/>
          <w:i/>
          <w:sz w:val="20"/>
          <w:szCs w:val="20"/>
        </w:rPr>
        <w:t xml:space="preserve">2020 </w:t>
      </w:r>
      <w:r w:rsidRPr="003750B8">
        <w:rPr>
          <w:bCs/>
          <w:i/>
          <w:sz w:val="20"/>
          <w:szCs w:val="20"/>
        </w:rPr>
        <w:t>goal, typically talking in terms of healthcare, infrastructure, energy, or education</w:t>
      </w:r>
      <w:r w:rsidR="000D2551" w:rsidRPr="003750B8">
        <w:rPr>
          <w:bCs/>
          <w:i/>
          <w:sz w:val="20"/>
          <w:szCs w:val="20"/>
        </w:rPr>
        <w:t xml:space="preserve">.  In order to achieve the 2020 goal the government </w:t>
      </w:r>
      <w:r w:rsidRPr="003750B8">
        <w:rPr>
          <w:bCs/>
          <w:i/>
          <w:sz w:val="20"/>
          <w:szCs w:val="20"/>
        </w:rPr>
        <w:t>h</w:t>
      </w:r>
      <w:r w:rsidR="000D2551" w:rsidRPr="003750B8">
        <w:rPr>
          <w:bCs/>
          <w:i/>
          <w:sz w:val="20"/>
          <w:szCs w:val="20"/>
        </w:rPr>
        <w:t xml:space="preserve">as </w:t>
      </w:r>
      <w:r w:rsidRPr="003750B8">
        <w:rPr>
          <w:bCs/>
          <w:i/>
          <w:sz w:val="20"/>
          <w:szCs w:val="20"/>
        </w:rPr>
        <w:t>launched</w:t>
      </w:r>
      <w:r w:rsidR="000D2551" w:rsidRPr="003750B8">
        <w:rPr>
          <w:bCs/>
          <w:i/>
          <w:sz w:val="20"/>
          <w:szCs w:val="20"/>
        </w:rPr>
        <w:t xml:space="preserve"> the Economic Transformation Program</w:t>
      </w:r>
      <w:r w:rsidRPr="003750B8">
        <w:rPr>
          <w:bCs/>
          <w:i/>
          <w:sz w:val="20"/>
          <w:szCs w:val="20"/>
        </w:rPr>
        <w:t xml:space="preserve"> </w:t>
      </w:r>
      <w:r w:rsidR="00C85045" w:rsidRPr="003750B8">
        <w:rPr>
          <w:bCs/>
          <w:i/>
          <w:sz w:val="20"/>
          <w:szCs w:val="20"/>
        </w:rPr>
        <w:t>(ETP).</w:t>
      </w:r>
      <w:r w:rsidR="000D2551" w:rsidRPr="003750B8">
        <w:rPr>
          <w:bCs/>
          <w:i/>
          <w:sz w:val="20"/>
          <w:szCs w:val="20"/>
        </w:rPr>
        <w:t xml:space="preserve"> </w:t>
      </w:r>
      <w:r w:rsidRPr="003750B8">
        <w:rPr>
          <w:bCs/>
          <w:i/>
          <w:sz w:val="20"/>
          <w:szCs w:val="20"/>
        </w:rPr>
        <w:t xml:space="preserve"> The ETP tag pops up everywhere; almost every company 10k I’ve read references the ETP.</w:t>
      </w:r>
      <w:r w:rsidR="000D2551" w:rsidRPr="003750B8">
        <w:rPr>
          <w:bCs/>
          <w:i/>
          <w:sz w:val="20"/>
          <w:szCs w:val="20"/>
        </w:rPr>
        <w:t xml:space="preserve">  </w:t>
      </w:r>
      <w:r w:rsidRPr="003750B8">
        <w:rPr>
          <w:bCs/>
          <w:i/>
          <w:sz w:val="20"/>
          <w:szCs w:val="20"/>
        </w:rPr>
        <w:t>The bottom line is that the Malay government is very pro-business.</w:t>
      </w:r>
    </w:p>
    <w:p w:rsidR="000D2551" w:rsidRPr="003750B8" w:rsidRDefault="000D2551" w:rsidP="00971A63">
      <w:pPr>
        <w:ind w:left="360" w:right="180"/>
        <w:jc w:val="both"/>
        <w:rPr>
          <w:bCs/>
          <w:i/>
          <w:sz w:val="20"/>
          <w:szCs w:val="20"/>
        </w:rPr>
      </w:pPr>
      <w:r w:rsidRPr="003750B8">
        <w:rPr>
          <w:bCs/>
          <w:i/>
          <w:sz w:val="20"/>
          <w:szCs w:val="20"/>
        </w:rPr>
        <w:t xml:space="preserve"> </w:t>
      </w:r>
    </w:p>
    <w:p w:rsidR="000D2551" w:rsidRPr="003750B8" w:rsidRDefault="00FE6544" w:rsidP="00727E1B">
      <w:pPr>
        <w:ind w:right="-270"/>
        <w:rPr>
          <w:bCs/>
          <w:sz w:val="20"/>
          <w:szCs w:val="20"/>
        </w:rPr>
      </w:pPr>
      <w:r w:rsidRPr="003750B8">
        <w:rPr>
          <w:bCs/>
          <w:sz w:val="20"/>
          <w:szCs w:val="20"/>
        </w:rPr>
        <w:t>Spence goes on to describe a lot of the companies that he and Amy visited.  Suffice it to say that they are seeing some very interesting opportunities throughout the region.</w:t>
      </w:r>
    </w:p>
    <w:p w:rsidR="00FE6544" w:rsidRPr="003750B8" w:rsidRDefault="00FE6544" w:rsidP="00727E1B">
      <w:pPr>
        <w:ind w:right="-270"/>
        <w:rPr>
          <w:b/>
          <w:bCs/>
          <w:sz w:val="20"/>
          <w:szCs w:val="20"/>
        </w:rPr>
      </w:pPr>
    </w:p>
    <w:p w:rsidR="00727E1B" w:rsidRPr="003750B8" w:rsidRDefault="00727E1B" w:rsidP="00727E1B">
      <w:pPr>
        <w:ind w:right="-270"/>
        <w:rPr>
          <w:sz w:val="20"/>
          <w:szCs w:val="20"/>
        </w:rPr>
      </w:pPr>
      <w:r w:rsidRPr="003750B8">
        <w:rPr>
          <w:b/>
          <w:bCs/>
          <w:i/>
          <w:sz w:val="20"/>
          <w:szCs w:val="20"/>
        </w:rPr>
        <w:t>Portfolio Performance</w:t>
      </w:r>
    </w:p>
    <w:p w:rsidR="00C22546" w:rsidRPr="003750B8" w:rsidRDefault="00C22546" w:rsidP="00C22546">
      <w:pPr>
        <w:ind w:right="-270"/>
        <w:rPr>
          <w:bCs/>
          <w:sz w:val="20"/>
          <w:szCs w:val="20"/>
        </w:rPr>
      </w:pPr>
      <w:r w:rsidRPr="003750B8">
        <w:rPr>
          <w:bCs/>
          <w:sz w:val="20"/>
          <w:szCs w:val="20"/>
        </w:rPr>
        <w:t>We think that after you read enough of these quarterly letters you’re going to come to the conclusion that we sou</w:t>
      </w:r>
      <w:r w:rsidR="006A3C0D" w:rsidRPr="003750B8">
        <w:rPr>
          <w:bCs/>
          <w:sz w:val="20"/>
          <w:szCs w:val="20"/>
        </w:rPr>
        <w:t>nd like a broken record.  In Q1-</w:t>
      </w:r>
      <w:r w:rsidRPr="003750B8">
        <w:rPr>
          <w:bCs/>
          <w:sz w:val="20"/>
          <w:szCs w:val="20"/>
        </w:rPr>
        <w:t xml:space="preserve">2012 we did well in the places we usually do well </w:t>
      </w:r>
      <w:r w:rsidR="00C22BAD" w:rsidRPr="003750B8">
        <w:rPr>
          <w:bCs/>
          <w:sz w:val="20"/>
          <w:szCs w:val="20"/>
        </w:rPr>
        <w:t xml:space="preserve">in </w:t>
      </w:r>
      <w:r w:rsidRPr="003750B8">
        <w:rPr>
          <w:bCs/>
          <w:sz w:val="20"/>
          <w:szCs w:val="20"/>
        </w:rPr>
        <w:t>and not so well in the pla</w:t>
      </w:r>
      <w:r w:rsidR="00C22BAD" w:rsidRPr="003750B8">
        <w:rPr>
          <w:bCs/>
          <w:sz w:val="20"/>
          <w:szCs w:val="20"/>
        </w:rPr>
        <w:t xml:space="preserve">ces </w:t>
      </w:r>
      <w:r w:rsidR="006A3C0D" w:rsidRPr="003750B8">
        <w:rPr>
          <w:bCs/>
          <w:sz w:val="20"/>
          <w:szCs w:val="20"/>
        </w:rPr>
        <w:t xml:space="preserve">where </w:t>
      </w:r>
      <w:r w:rsidR="00C22BAD" w:rsidRPr="003750B8">
        <w:rPr>
          <w:bCs/>
          <w:sz w:val="20"/>
          <w:szCs w:val="20"/>
        </w:rPr>
        <w:t xml:space="preserve">we don’t usually do well.  </w:t>
      </w:r>
      <w:r w:rsidRPr="003750B8">
        <w:rPr>
          <w:bCs/>
          <w:sz w:val="20"/>
          <w:szCs w:val="20"/>
        </w:rPr>
        <w:t xml:space="preserve">Industrials and technology were the </w:t>
      </w:r>
      <w:r w:rsidR="00EE24C3" w:rsidRPr="003750B8">
        <w:rPr>
          <w:bCs/>
          <w:sz w:val="20"/>
          <w:szCs w:val="20"/>
        </w:rPr>
        <w:t>sectors</w:t>
      </w:r>
      <w:r w:rsidRPr="003750B8">
        <w:rPr>
          <w:bCs/>
          <w:sz w:val="20"/>
          <w:szCs w:val="20"/>
        </w:rPr>
        <w:t xml:space="preserve"> to be in </w:t>
      </w:r>
      <w:r w:rsidR="00EE24C3" w:rsidRPr="003750B8">
        <w:rPr>
          <w:bCs/>
          <w:sz w:val="20"/>
          <w:szCs w:val="20"/>
        </w:rPr>
        <w:t xml:space="preserve">for </w:t>
      </w:r>
      <w:r w:rsidRPr="003750B8">
        <w:rPr>
          <w:bCs/>
          <w:sz w:val="20"/>
          <w:szCs w:val="20"/>
        </w:rPr>
        <w:t>the quarter and we were</w:t>
      </w:r>
      <w:r w:rsidR="00C22BAD" w:rsidRPr="003750B8">
        <w:rPr>
          <w:bCs/>
          <w:sz w:val="20"/>
          <w:szCs w:val="20"/>
        </w:rPr>
        <w:t xml:space="preserve"> overweight and outperformed</w:t>
      </w:r>
      <w:r w:rsidR="00EE24C3" w:rsidRPr="003750B8">
        <w:rPr>
          <w:bCs/>
          <w:sz w:val="20"/>
          <w:szCs w:val="20"/>
        </w:rPr>
        <w:t xml:space="preserve"> there</w:t>
      </w:r>
      <w:r w:rsidR="00C22BAD" w:rsidRPr="003750B8">
        <w:rPr>
          <w:bCs/>
          <w:sz w:val="20"/>
          <w:szCs w:val="20"/>
        </w:rPr>
        <w:t xml:space="preserve">.  </w:t>
      </w:r>
      <w:r w:rsidRPr="003750B8">
        <w:rPr>
          <w:bCs/>
          <w:sz w:val="20"/>
          <w:szCs w:val="20"/>
        </w:rPr>
        <w:t>En</w:t>
      </w:r>
      <w:r w:rsidR="00EE24C3" w:rsidRPr="003750B8">
        <w:rPr>
          <w:bCs/>
          <w:sz w:val="20"/>
          <w:szCs w:val="20"/>
        </w:rPr>
        <w:t>ergy was an underperforming sector</w:t>
      </w:r>
      <w:r w:rsidRPr="003750B8">
        <w:rPr>
          <w:bCs/>
          <w:sz w:val="20"/>
          <w:szCs w:val="20"/>
        </w:rPr>
        <w:t xml:space="preserve"> but we did very well</w:t>
      </w:r>
      <w:r w:rsidR="00EE24C3" w:rsidRPr="003750B8">
        <w:rPr>
          <w:bCs/>
          <w:sz w:val="20"/>
          <w:szCs w:val="20"/>
        </w:rPr>
        <w:t xml:space="preserve"> there in the quarter</w:t>
      </w:r>
      <w:r w:rsidRPr="003750B8">
        <w:rPr>
          <w:bCs/>
          <w:sz w:val="20"/>
          <w:szCs w:val="20"/>
        </w:rPr>
        <w:t>.</w:t>
      </w:r>
      <w:r w:rsidR="007B321C" w:rsidRPr="003750B8">
        <w:rPr>
          <w:bCs/>
          <w:sz w:val="20"/>
          <w:szCs w:val="20"/>
        </w:rPr>
        <w:t xml:space="preserve">  We also had solid performance</w:t>
      </w:r>
      <w:r w:rsidRPr="003750B8">
        <w:rPr>
          <w:bCs/>
          <w:sz w:val="20"/>
          <w:szCs w:val="20"/>
        </w:rPr>
        <w:t xml:space="preserve"> in health care, finance and consumer discretionar</w:t>
      </w:r>
      <w:r w:rsidR="00C22BAD" w:rsidRPr="003750B8">
        <w:rPr>
          <w:bCs/>
          <w:sz w:val="20"/>
          <w:szCs w:val="20"/>
        </w:rPr>
        <w:t xml:space="preserve">y, places </w:t>
      </w:r>
      <w:r w:rsidR="007B321C" w:rsidRPr="003750B8">
        <w:rPr>
          <w:bCs/>
          <w:sz w:val="20"/>
          <w:szCs w:val="20"/>
        </w:rPr>
        <w:t xml:space="preserve">where </w:t>
      </w:r>
      <w:r w:rsidR="00C22BAD" w:rsidRPr="003750B8">
        <w:rPr>
          <w:bCs/>
          <w:sz w:val="20"/>
          <w:szCs w:val="20"/>
        </w:rPr>
        <w:t xml:space="preserve">we usually do well.  </w:t>
      </w:r>
      <w:r w:rsidRPr="003750B8">
        <w:rPr>
          <w:bCs/>
          <w:sz w:val="20"/>
          <w:szCs w:val="20"/>
        </w:rPr>
        <w:t>Not surpris</w:t>
      </w:r>
      <w:r w:rsidR="007B321C" w:rsidRPr="003750B8">
        <w:rPr>
          <w:bCs/>
          <w:sz w:val="20"/>
          <w:szCs w:val="20"/>
        </w:rPr>
        <w:t>ingly we struggled in materials</w:t>
      </w:r>
      <w:r w:rsidRPr="003750B8">
        <w:rPr>
          <w:bCs/>
          <w:sz w:val="20"/>
          <w:szCs w:val="20"/>
        </w:rPr>
        <w:t xml:space="preserve"> and in consumer staples</w:t>
      </w:r>
      <w:r w:rsidR="00C22BAD" w:rsidRPr="003750B8">
        <w:rPr>
          <w:bCs/>
          <w:sz w:val="20"/>
          <w:szCs w:val="20"/>
        </w:rPr>
        <w:t>, just</w:t>
      </w:r>
      <w:r w:rsidRPr="003750B8">
        <w:rPr>
          <w:bCs/>
          <w:sz w:val="20"/>
          <w:szCs w:val="20"/>
        </w:rPr>
        <w:t xml:space="preserve"> as we have in the past.  We </w:t>
      </w:r>
      <w:r w:rsidR="00C22BAD" w:rsidRPr="003750B8">
        <w:rPr>
          <w:bCs/>
          <w:sz w:val="20"/>
          <w:szCs w:val="20"/>
        </w:rPr>
        <w:t xml:space="preserve">currently have no investments </w:t>
      </w:r>
      <w:r w:rsidRPr="003750B8">
        <w:rPr>
          <w:bCs/>
          <w:sz w:val="20"/>
          <w:szCs w:val="20"/>
        </w:rPr>
        <w:t>in utilities.</w:t>
      </w:r>
    </w:p>
    <w:p w:rsidR="00C22BAD" w:rsidRPr="003750B8" w:rsidRDefault="00C22BAD" w:rsidP="00C22546">
      <w:pPr>
        <w:ind w:right="-270"/>
        <w:rPr>
          <w:bCs/>
          <w:sz w:val="20"/>
          <w:szCs w:val="20"/>
        </w:rPr>
      </w:pPr>
    </w:p>
    <w:p w:rsidR="00C22546" w:rsidRPr="003750B8" w:rsidRDefault="00C22546" w:rsidP="00C22546">
      <w:pPr>
        <w:ind w:right="-270"/>
        <w:rPr>
          <w:bCs/>
          <w:sz w:val="20"/>
          <w:szCs w:val="20"/>
        </w:rPr>
      </w:pPr>
      <w:r w:rsidRPr="003750B8">
        <w:rPr>
          <w:bCs/>
          <w:sz w:val="20"/>
          <w:szCs w:val="20"/>
        </w:rPr>
        <w:t>As most of you know</w:t>
      </w:r>
      <w:r w:rsidR="00C22BAD" w:rsidRPr="003750B8">
        <w:rPr>
          <w:bCs/>
          <w:sz w:val="20"/>
          <w:szCs w:val="20"/>
        </w:rPr>
        <w:t>, we’</w:t>
      </w:r>
      <w:r w:rsidRPr="003750B8">
        <w:rPr>
          <w:bCs/>
          <w:sz w:val="20"/>
          <w:szCs w:val="20"/>
        </w:rPr>
        <w:t>re not big industry sector rotators.  We tend to be overwei</w:t>
      </w:r>
      <w:r w:rsidR="007B321C" w:rsidRPr="003750B8">
        <w:rPr>
          <w:bCs/>
          <w:sz w:val="20"/>
          <w:szCs w:val="20"/>
        </w:rPr>
        <w:t>ght in the same areas over time (the areas we’re good at)</w:t>
      </w:r>
      <w:r w:rsidRPr="003750B8">
        <w:rPr>
          <w:bCs/>
          <w:sz w:val="20"/>
          <w:szCs w:val="20"/>
        </w:rPr>
        <w:t xml:space="preserve"> and </w:t>
      </w:r>
      <w:r w:rsidR="007B321C" w:rsidRPr="003750B8">
        <w:rPr>
          <w:bCs/>
          <w:sz w:val="20"/>
          <w:szCs w:val="20"/>
        </w:rPr>
        <w:t xml:space="preserve">we </w:t>
      </w:r>
      <w:r w:rsidRPr="003750B8">
        <w:rPr>
          <w:bCs/>
          <w:sz w:val="20"/>
          <w:szCs w:val="20"/>
        </w:rPr>
        <w:t xml:space="preserve">underweight the same areas </w:t>
      </w:r>
      <w:r w:rsidR="007B321C" w:rsidRPr="003750B8">
        <w:rPr>
          <w:bCs/>
          <w:sz w:val="20"/>
          <w:szCs w:val="20"/>
        </w:rPr>
        <w:t xml:space="preserve">that </w:t>
      </w:r>
      <w:r w:rsidRPr="003750B8">
        <w:rPr>
          <w:bCs/>
          <w:sz w:val="20"/>
          <w:szCs w:val="20"/>
        </w:rPr>
        <w:t>we’re generally not as good at.  Occasionally there is an exception and we’ll do something pr</w:t>
      </w:r>
      <w:r w:rsidR="007B321C" w:rsidRPr="003750B8">
        <w:rPr>
          <w:bCs/>
          <w:sz w:val="20"/>
          <w:szCs w:val="20"/>
        </w:rPr>
        <w:t>ofound on the industry front, b</w:t>
      </w:r>
      <w:r w:rsidRPr="003750B8">
        <w:rPr>
          <w:bCs/>
          <w:sz w:val="20"/>
          <w:szCs w:val="20"/>
        </w:rPr>
        <w:t xml:space="preserve">ut right now we are </w:t>
      </w:r>
      <w:r w:rsidR="007B321C" w:rsidRPr="003750B8">
        <w:rPr>
          <w:bCs/>
          <w:sz w:val="20"/>
          <w:szCs w:val="20"/>
        </w:rPr>
        <w:t xml:space="preserve">sticking to our knitting and </w:t>
      </w:r>
      <w:r w:rsidRPr="003750B8">
        <w:rPr>
          <w:bCs/>
          <w:sz w:val="20"/>
          <w:szCs w:val="20"/>
        </w:rPr>
        <w:t>n</w:t>
      </w:r>
      <w:r w:rsidR="00C22BAD" w:rsidRPr="003750B8">
        <w:rPr>
          <w:bCs/>
          <w:sz w:val="20"/>
          <w:szCs w:val="20"/>
        </w:rPr>
        <w:t>ot doing anything too different</w:t>
      </w:r>
      <w:r w:rsidR="007B321C" w:rsidRPr="003750B8">
        <w:rPr>
          <w:bCs/>
          <w:sz w:val="20"/>
          <w:szCs w:val="20"/>
        </w:rPr>
        <w:t>.</w:t>
      </w:r>
    </w:p>
    <w:p w:rsidR="00C22BAD" w:rsidRPr="003750B8" w:rsidRDefault="00C22BAD" w:rsidP="00C22546">
      <w:pPr>
        <w:ind w:right="-270"/>
        <w:rPr>
          <w:bCs/>
          <w:sz w:val="20"/>
          <w:szCs w:val="20"/>
        </w:rPr>
      </w:pPr>
    </w:p>
    <w:p w:rsidR="00C22546" w:rsidRPr="003750B8" w:rsidRDefault="00C22546" w:rsidP="00C22546">
      <w:pPr>
        <w:ind w:right="-270"/>
        <w:rPr>
          <w:bCs/>
          <w:sz w:val="20"/>
          <w:szCs w:val="20"/>
        </w:rPr>
      </w:pPr>
      <w:r w:rsidRPr="003750B8">
        <w:rPr>
          <w:bCs/>
          <w:sz w:val="20"/>
          <w:szCs w:val="20"/>
        </w:rPr>
        <w:t>We are</w:t>
      </w:r>
      <w:r w:rsidR="00C22BAD" w:rsidRPr="003750B8">
        <w:rPr>
          <w:bCs/>
          <w:sz w:val="20"/>
          <w:szCs w:val="20"/>
        </w:rPr>
        <w:t>,</w:t>
      </w:r>
      <w:r w:rsidR="007B321C" w:rsidRPr="003750B8">
        <w:rPr>
          <w:bCs/>
          <w:sz w:val="20"/>
          <w:szCs w:val="20"/>
        </w:rPr>
        <w:t xml:space="preserve"> however trying to get better</w:t>
      </w:r>
      <w:r w:rsidRPr="003750B8">
        <w:rPr>
          <w:bCs/>
          <w:sz w:val="20"/>
          <w:szCs w:val="20"/>
        </w:rPr>
        <w:t xml:space="preserve"> in </w:t>
      </w:r>
      <w:r w:rsidR="00C22BAD" w:rsidRPr="003750B8">
        <w:rPr>
          <w:bCs/>
          <w:sz w:val="20"/>
          <w:szCs w:val="20"/>
        </w:rPr>
        <w:t xml:space="preserve">the areas we’ve </w:t>
      </w:r>
      <w:r w:rsidR="007B321C" w:rsidRPr="003750B8">
        <w:rPr>
          <w:bCs/>
          <w:sz w:val="20"/>
          <w:szCs w:val="20"/>
        </w:rPr>
        <w:t xml:space="preserve">historically </w:t>
      </w:r>
      <w:r w:rsidR="00C22BAD" w:rsidRPr="003750B8">
        <w:rPr>
          <w:bCs/>
          <w:sz w:val="20"/>
          <w:szCs w:val="20"/>
        </w:rPr>
        <w:t>struggled in.  For example, w</w:t>
      </w:r>
      <w:r w:rsidRPr="003750B8">
        <w:rPr>
          <w:bCs/>
          <w:sz w:val="20"/>
          <w:szCs w:val="20"/>
        </w:rPr>
        <w:t>e lo</w:t>
      </w:r>
      <w:r w:rsidR="00C22BAD" w:rsidRPr="003750B8">
        <w:rPr>
          <w:bCs/>
          <w:sz w:val="20"/>
          <w:szCs w:val="20"/>
        </w:rPr>
        <w:t xml:space="preserve">ve the consumer staples story </w:t>
      </w:r>
      <w:r w:rsidR="007B321C" w:rsidRPr="003750B8">
        <w:rPr>
          <w:bCs/>
          <w:sz w:val="20"/>
          <w:szCs w:val="20"/>
        </w:rPr>
        <w:t>but have</w:t>
      </w:r>
      <w:r w:rsidRPr="003750B8">
        <w:rPr>
          <w:bCs/>
          <w:sz w:val="20"/>
          <w:szCs w:val="20"/>
        </w:rPr>
        <w:t xml:space="preserve"> </w:t>
      </w:r>
      <w:r w:rsidR="00C22BAD" w:rsidRPr="003750B8">
        <w:rPr>
          <w:bCs/>
          <w:sz w:val="20"/>
          <w:szCs w:val="20"/>
        </w:rPr>
        <w:t xml:space="preserve">always </w:t>
      </w:r>
      <w:r w:rsidRPr="003750B8">
        <w:rPr>
          <w:bCs/>
          <w:sz w:val="20"/>
          <w:szCs w:val="20"/>
        </w:rPr>
        <w:t xml:space="preserve">been </w:t>
      </w:r>
      <w:r w:rsidR="007B321C" w:rsidRPr="003750B8">
        <w:rPr>
          <w:bCs/>
          <w:sz w:val="20"/>
          <w:szCs w:val="20"/>
        </w:rPr>
        <w:t>un</w:t>
      </w:r>
      <w:r w:rsidRPr="003750B8">
        <w:rPr>
          <w:bCs/>
          <w:sz w:val="20"/>
          <w:szCs w:val="20"/>
        </w:rPr>
        <w:t>willing to pay</w:t>
      </w:r>
      <w:r w:rsidR="00C22BAD" w:rsidRPr="003750B8">
        <w:rPr>
          <w:bCs/>
          <w:sz w:val="20"/>
          <w:szCs w:val="20"/>
        </w:rPr>
        <w:t xml:space="preserve"> up for the great stories. </w:t>
      </w:r>
      <w:r w:rsidR="007B321C" w:rsidRPr="003750B8">
        <w:rPr>
          <w:bCs/>
          <w:sz w:val="20"/>
          <w:szCs w:val="20"/>
        </w:rPr>
        <w:t xml:space="preserve"> W</w:t>
      </w:r>
      <w:r w:rsidR="00C22BAD" w:rsidRPr="003750B8">
        <w:rPr>
          <w:bCs/>
          <w:sz w:val="20"/>
          <w:szCs w:val="20"/>
        </w:rPr>
        <w:t xml:space="preserve">e recognize this </w:t>
      </w:r>
      <w:r w:rsidR="007B321C" w:rsidRPr="003750B8">
        <w:rPr>
          <w:bCs/>
          <w:sz w:val="20"/>
          <w:szCs w:val="20"/>
        </w:rPr>
        <w:t xml:space="preserve">as flaw, </w:t>
      </w:r>
      <w:r w:rsidR="00C22BAD" w:rsidRPr="003750B8">
        <w:rPr>
          <w:bCs/>
          <w:sz w:val="20"/>
          <w:szCs w:val="20"/>
        </w:rPr>
        <w:t>and are now</w:t>
      </w:r>
      <w:r w:rsidRPr="003750B8">
        <w:rPr>
          <w:bCs/>
          <w:sz w:val="20"/>
          <w:szCs w:val="20"/>
        </w:rPr>
        <w:t xml:space="preserve"> grappling </w:t>
      </w:r>
      <w:r w:rsidR="00C22BAD" w:rsidRPr="003750B8">
        <w:rPr>
          <w:bCs/>
          <w:sz w:val="20"/>
          <w:szCs w:val="20"/>
        </w:rPr>
        <w:t xml:space="preserve">with how to fix it </w:t>
      </w:r>
      <w:r w:rsidRPr="003750B8">
        <w:rPr>
          <w:bCs/>
          <w:sz w:val="20"/>
          <w:szCs w:val="20"/>
        </w:rPr>
        <w:t xml:space="preserve">going forward.  On </w:t>
      </w:r>
      <w:r w:rsidR="00C22BAD" w:rsidRPr="003750B8">
        <w:rPr>
          <w:bCs/>
          <w:sz w:val="20"/>
          <w:szCs w:val="20"/>
        </w:rPr>
        <w:t xml:space="preserve">the </w:t>
      </w:r>
      <w:r w:rsidRPr="003750B8">
        <w:rPr>
          <w:bCs/>
          <w:sz w:val="20"/>
          <w:szCs w:val="20"/>
        </w:rPr>
        <w:t>materials side, we</w:t>
      </w:r>
      <w:r w:rsidR="007B321C" w:rsidRPr="003750B8">
        <w:rPr>
          <w:bCs/>
          <w:sz w:val="20"/>
          <w:szCs w:val="20"/>
        </w:rPr>
        <w:t xml:space="preserve"> continue to look for small and micro-cap </w:t>
      </w:r>
      <w:r w:rsidRPr="003750B8">
        <w:rPr>
          <w:bCs/>
          <w:sz w:val="20"/>
          <w:szCs w:val="20"/>
        </w:rPr>
        <w:t xml:space="preserve">names that </w:t>
      </w:r>
      <w:r w:rsidR="007B321C" w:rsidRPr="003750B8">
        <w:rPr>
          <w:bCs/>
          <w:sz w:val="20"/>
          <w:szCs w:val="20"/>
        </w:rPr>
        <w:t xml:space="preserve">fit the profile </w:t>
      </w:r>
      <w:r w:rsidRPr="003750B8">
        <w:rPr>
          <w:bCs/>
          <w:sz w:val="20"/>
          <w:szCs w:val="20"/>
        </w:rPr>
        <w:t>we can buy</w:t>
      </w:r>
      <w:r w:rsidR="00C22BAD" w:rsidRPr="003750B8">
        <w:rPr>
          <w:bCs/>
          <w:sz w:val="20"/>
          <w:szCs w:val="20"/>
        </w:rPr>
        <w:t xml:space="preserve">.  </w:t>
      </w:r>
      <w:r w:rsidRPr="003750B8">
        <w:rPr>
          <w:bCs/>
          <w:sz w:val="20"/>
          <w:szCs w:val="20"/>
        </w:rPr>
        <w:t xml:space="preserve">Blake found a new name </w:t>
      </w:r>
      <w:r w:rsidR="007B321C" w:rsidRPr="003750B8">
        <w:rPr>
          <w:bCs/>
          <w:sz w:val="20"/>
          <w:szCs w:val="20"/>
        </w:rPr>
        <w:t>on his</w:t>
      </w:r>
      <w:r w:rsidRPr="003750B8">
        <w:rPr>
          <w:bCs/>
          <w:sz w:val="20"/>
          <w:szCs w:val="20"/>
        </w:rPr>
        <w:t xml:space="preserve"> recent Canadian trip</w:t>
      </w:r>
      <w:r w:rsidR="00C22BAD" w:rsidRPr="003750B8">
        <w:rPr>
          <w:bCs/>
          <w:sz w:val="20"/>
          <w:szCs w:val="20"/>
        </w:rPr>
        <w:t xml:space="preserve"> and we’ve established a small position; b</w:t>
      </w:r>
      <w:r w:rsidRPr="003750B8">
        <w:rPr>
          <w:bCs/>
          <w:sz w:val="20"/>
          <w:szCs w:val="20"/>
        </w:rPr>
        <w:t>ut progress on materials is sl</w:t>
      </w:r>
      <w:r w:rsidR="00C22BAD" w:rsidRPr="003750B8">
        <w:rPr>
          <w:bCs/>
          <w:sz w:val="20"/>
          <w:szCs w:val="20"/>
        </w:rPr>
        <w:t>ow for us.  There are other sub-</w:t>
      </w:r>
      <w:r w:rsidRPr="003750B8">
        <w:rPr>
          <w:bCs/>
          <w:sz w:val="20"/>
          <w:szCs w:val="20"/>
        </w:rPr>
        <w:t>categories not mentioned above wher</w:t>
      </w:r>
      <w:r w:rsidR="00C22BAD" w:rsidRPr="003750B8">
        <w:rPr>
          <w:bCs/>
          <w:sz w:val="20"/>
          <w:szCs w:val="20"/>
        </w:rPr>
        <w:t>e we have work to do as well; r</w:t>
      </w:r>
      <w:r w:rsidRPr="003750B8">
        <w:rPr>
          <w:bCs/>
          <w:sz w:val="20"/>
          <w:szCs w:val="20"/>
        </w:rPr>
        <w:t xml:space="preserve">eal estate </w:t>
      </w:r>
      <w:r w:rsidR="00C22BAD" w:rsidRPr="003750B8">
        <w:rPr>
          <w:bCs/>
          <w:sz w:val="20"/>
          <w:szCs w:val="20"/>
        </w:rPr>
        <w:t>(</w:t>
      </w:r>
      <w:r w:rsidRPr="003750B8">
        <w:rPr>
          <w:bCs/>
          <w:sz w:val="20"/>
          <w:szCs w:val="20"/>
        </w:rPr>
        <w:t>included within financials</w:t>
      </w:r>
      <w:r w:rsidR="00C22BAD" w:rsidRPr="003750B8">
        <w:rPr>
          <w:bCs/>
          <w:sz w:val="20"/>
          <w:szCs w:val="20"/>
        </w:rPr>
        <w:t>) is an example.</w:t>
      </w:r>
    </w:p>
    <w:p w:rsidR="00C22BAD" w:rsidRPr="003750B8" w:rsidRDefault="00C22BAD" w:rsidP="00C22546">
      <w:pPr>
        <w:ind w:right="-270"/>
        <w:rPr>
          <w:bCs/>
          <w:sz w:val="20"/>
          <w:szCs w:val="20"/>
        </w:rPr>
      </w:pPr>
    </w:p>
    <w:p w:rsidR="00C22546" w:rsidRPr="003750B8" w:rsidRDefault="00C22546" w:rsidP="00C22546">
      <w:pPr>
        <w:ind w:right="-270"/>
        <w:rPr>
          <w:bCs/>
          <w:sz w:val="20"/>
          <w:szCs w:val="20"/>
        </w:rPr>
      </w:pPr>
      <w:r w:rsidRPr="003750B8">
        <w:rPr>
          <w:bCs/>
          <w:sz w:val="20"/>
          <w:szCs w:val="20"/>
        </w:rPr>
        <w:t xml:space="preserve">What you should </w:t>
      </w:r>
      <w:r w:rsidR="00C22BAD" w:rsidRPr="003750B8">
        <w:rPr>
          <w:bCs/>
          <w:sz w:val="20"/>
          <w:szCs w:val="20"/>
        </w:rPr>
        <w:t xml:space="preserve">keep in mind </w:t>
      </w:r>
      <w:r w:rsidRPr="003750B8">
        <w:rPr>
          <w:bCs/>
          <w:sz w:val="20"/>
          <w:szCs w:val="20"/>
        </w:rPr>
        <w:t>about Grandeur Peak</w:t>
      </w:r>
      <w:r w:rsidR="00C22BAD" w:rsidRPr="003750B8">
        <w:rPr>
          <w:bCs/>
          <w:sz w:val="20"/>
          <w:szCs w:val="20"/>
        </w:rPr>
        <w:t xml:space="preserve"> though</w:t>
      </w:r>
      <w:r w:rsidR="007B321C" w:rsidRPr="003750B8">
        <w:rPr>
          <w:bCs/>
          <w:sz w:val="20"/>
          <w:szCs w:val="20"/>
        </w:rPr>
        <w:t>,</w:t>
      </w:r>
      <w:r w:rsidRPr="003750B8">
        <w:rPr>
          <w:bCs/>
          <w:sz w:val="20"/>
          <w:szCs w:val="20"/>
        </w:rPr>
        <w:t xml:space="preserve"> is that </w:t>
      </w:r>
      <w:r w:rsidR="00C22BAD" w:rsidRPr="003750B8">
        <w:rPr>
          <w:bCs/>
          <w:sz w:val="20"/>
          <w:szCs w:val="20"/>
        </w:rPr>
        <w:t xml:space="preserve">while we generally stay close to those areas we feel we are best in, </w:t>
      </w:r>
      <w:r w:rsidRPr="003750B8">
        <w:rPr>
          <w:bCs/>
          <w:sz w:val="20"/>
          <w:szCs w:val="20"/>
        </w:rPr>
        <w:t xml:space="preserve">we are committed to searching the entire </w:t>
      </w:r>
      <w:r w:rsidR="00C22BAD" w:rsidRPr="003750B8">
        <w:rPr>
          <w:bCs/>
          <w:sz w:val="20"/>
          <w:szCs w:val="20"/>
        </w:rPr>
        <w:t>universe</w:t>
      </w:r>
      <w:r w:rsidRPr="003750B8">
        <w:rPr>
          <w:bCs/>
          <w:sz w:val="20"/>
          <w:szCs w:val="20"/>
        </w:rPr>
        <w:t xml:space="preserve"> of </w:t>
      </w:r>
      <w:r w:rsidR="00C22BAD" w:rsidRPr="003750B8">
        <w:rPr>
          <w:bCs/>
          <w:sz w:val="20"/>
          <w:szCs w:val="20"/>
        </w:rPr>
        <w:t>opportunitie</w:t>
      </w:r>
      <w:r w:rsidRPr="003750B8">
        <w:rPr>
          <w:bCs/>
          <w:sz w:val="20"/>
          <w:szCs w:val="20"/>
        </w:rPr>
        <w:t xml:space="preserve">s, across all </w:t>
      </w:r>
      <w:r w:rsidR="00C22BAD" w:rsidRPr="003750B8">
        <w:rPr>
          <w:bCs/>
          <w:sz w:val="20"/>
          <w:szCs w:val="20"/>
        </w:rPr>
        <w:t>industries and sectors</w:t>
      </w:r>
      <w:r w:rsidRPr="003750B8">
        <w:rPr>
          <w:bCs/>
          <w:sz w:val="20"/>
          <w:szCs w:val="20"/>
        </w:rPr>
        <w:t xml:space="preserve">. </w:t>
      </w:r>
      <w:r w:rsidR="00C22BAD" w:rsidRPr="003750B8">
        <w:rPr>
          <w:bCs/>
          <w:sz w:val="20"/>
          <w:szCs w:val="20"/>
        </w:rPr>
        <w:t xml:space="preserve"> </w:t>
      </w:r>
      <w:r w:rsidRPr="003750B8">
        <w:rPr>
          <w:bCs/>
          <w:sz w:val="20"/>
          <w:szCs w:val="20"/>
        </w:rPr>
        <w:t>Overtime we have gotten better in areas that we were once not as good, such as energy, capital goods</w:t>
      </w:r>
      <w:r w:rsidR="00C22BAD" w:rsidRPr="003750B8">
        <w:rPr>
          <w:bCs/>
          <w:sz w:val="20"/>
          <w:szCs w:val="20"/>
        </w:rPr>
        <w:t xml:space="preserve"> </w:t>
      </w:r>
      <w:r w:rsidRPr="003750B8">
        <w:rPr>
          <w:bCs/>
          <w:sz w:val="20"/>
          <w:szCs w:val="20"/>
        </w:rPr>
        <w:t>(industrials), and parts of finance</w:t>
      </w:r>
      <w:r w:rsidR="00AF3AA6" w:rsidRPr="003750B8">
        <w:rPr>
          <w:bCs/>
          <w:sz w:val="20"/>
          <w:szCs w:val="20"/>
        </w:rPr>
        <w:t xml:space="preserve"> and we hope to continue this process of self-improvement going forward</w:t>
      </w:r>
      <w:r w:rsidRPr="003750B8">
        <w:rPr>
          <w:bCs/>
          <w:sz w:val="20"/>
          <w:szCs w:val="20"/>
        </w:rPr>
        <w:t>.</w:t>
      </w:r>
    </w:p>
    <w:p w:rsidR="00C22546" w:rsidRPr="003750B8" w:rsidRDefault="00C22546" w:rsidP="009245F5">
      <w:pPr>
        <w:ind w:right="-270"/>
        <w:rPr>
          <w:bCs/>
          <w:i/>
          <w:sz w:val="20"/>
          <w:szCs w:val="20"/>
          <w:u w:val="single"/>
        </w:rPr>
      </w:pPr>
    </w:p>
    <w:p w:rsidR="007720E4" w:rsidRPr="003750B8" w:rsidRDefault="007720E4" w:rsidP="009245F5">
      <w:pPr>
        <w:ind w:right="-270"/>
        <w:rPr>
          <w:bCs/>
          <w:i/>
          <w:sz w:val="20"/>
          <w:szCs w:val="20"/>
          <w:u w:val="single"/>
        </w:rPr>
      </w:pPr>
      <w:r w:rsidRPr="003750B8">
        <w:rPr>
          <w:bCs/>
          <w:i/>
          <w:sz w:val="20"/>
          <w:szCs w:val="20"/>
          <w:u w:val="single"/>
        </w:rPr>
        <w:t>Top Contributors</w:t>
      </w:r>
    </w:p>
    <w:p w:rsidR="007720E4" w:rsidRPr="003750B8" w:rsidRDefault="007720E4" w:rsidP="009245F5">
      <w:pPr>
        <w:ind w:right="-270"/>
        <w:rPr>
          <w:sz w:val="20"/>
          <w:szCs w:val="20"/>
        </w:rPr>
      </w:pPr>
      <w:r w:rsidRPr="003750B8">
        <w:rPr>
          <w:sz w:val="20"/>
          <w:szCs w:val="20"/>
        </w:rPr>
        <w:t>For the f</w:t>
      </w:r>
      <w:r w:rsidR="000642A1" w:rsidRPr="003750B8">
        <w:rPr>
          <w:sz w:val="20"/>
          <w:szCs w:val="20"/>
        </w:rPr>
        <w:t>irst</w:t>
      </w:r>
      <w:r w:rsidRPr="003750B8">
        <w:rPr>
          <w:sz w:val="20"/>
          <w:szCs w:val="20"/>
        </w:rPr>
        <w:t xml:space="preserve"> quarter of 201</w:t>
      </w:r>
      <w:r w:rsidR="000642A1" w:rsidRPr="003750B8">
        <w:rPr>
          <w:sz w:val="20"/>
          <w:szCs w:val="20"/>
        </w:rPr>
        <w:t>2</w:t>
      </w:r>
      <w:r w:rsidRPr="003750B8">
        <w:rPr>
          <w:sz w:val="20"/>
          <w:szCs w:val="20"/>
        </w:rPr>
        <w:t xml:space="preserve"> our top five contributors to performance across </w:t>
      </w:r>
      <w:r w:rsidR="00FD6D9A" w:rsidRPr="003750B8">
        <w:rPr>
          <w:sz w:val="20"/>
          <w:szCs w:val="20"/>
        </w:rPr>
        <w:t>both funds</w:t>
      </w:r>
      <w:r w:rsidR="00C106BF" w:rsidRPr="003750B8">
        <w:rPr>
          <w:sz w:val="20"/>
          <w:szCs w:val="20"/>
        </w:rPr>
        <w:t xml:space="preserve"> </w:t>
      </w:r>
      <w:r w:rsidRPr="003750B8">
        <w:rPr>
          <w:sz w:val="20"/>
          <w:szCs w:val="20"/>
        </w:rPr>
        <w:t>were:</w:t>
      </w:r>
    </w:p>
    <w:p w:rsidR="007720E4" w:rsidRPr="003750B8" w:rsidRDefault="007720E4" w:rsidP="009245F5">
      <w:pPr>
        <w:ind w:right="-270"/>
        <w:rPr>
          <w:sz w:val="20"/>
          <w:szCs w:val="20"/>
        </w:rPr>
      </w:pPr>
    </w:p>
    <w:p w:rsidR="007720E4" w:rsidRPr="003750B8" w:rsidRDefault="00FA20A7" w:rsidP="009245F5">
      <w:pPr>
        <w:ind w:right="-270"/>
        <w:rPr>
          <w:i/>
          <w:sz w:val="20"/>
          <w:szCs w:val="20"/>
          <w:u w:val="single"/>
        </w:rPr>
      </w:pPr>
      <w:r w:rsidRPr="003750B8">
        <w:rPr>
          <w:i/>
          <w:sz w:val="20"/>
          <w:szCs w:val="20"/>
          <w:u w:val="single"/>
        </w:rPr>
        <w:t>Melexis NV</w:t>
      </w:r>
    </w:p>
    <w:p w:rsidR="007720E4" w:rsidRPr="003750B8" w:rsidRDefault="00077219" w:rsidP="00ED1E49">
      <w:pPr>
        <w:widowControl w:val="0"/>
        <w:autoSpaceDE w:val="0"/>
        <w:autoSpaceDN w:val="0"/>
        <w:adjustRightInd w:val="0"/>
        <w:rPr>
          <w:color w:val="222221"/>
          <w:sz w:val="20"/>
          <w:szCs w:val="20"/>
        </w:rPr>
      </w:pPr>
      <w:r w:rsidRPr="003750B8">
        <w:rPr>
          <w:sz w:val="20"/>
          <w:szCs w:val="20"/>
        </w:rPr>
        <w:t xml:space="preserve">Melexis is a </w:t>
      </w:r>
      <w:r w:rsidR="002F3D42" w:rsidRPr="003750B8">
        <w:rPr>
          <w:sz w:val="20"/>
          <w:szCs w:val="20"/>
        </w:rPr>
        <w:t>$760 million market-</w:t>
      </w:r>
      <w:r w:rsidR="00072937" w:rsidRPr="003750B8">
        <w:rPr>
          <w:sz w:val="20"/>
          <w:szCs w:val="20"/>
        </w:rPr>
        <w:t>cap company based in Belgium.  Founded in 1993, t</w:t>
      </w:r>
      <w:r w:rsidR="00E83F90" w:rsidRPr="003750B8">
        <w:rPr>
          <w:sz w:val="20"/>
          <w:szCs w:val="20"/>
        </w:rPr>
        <w:t xml:space="preserve">he company manufactures </w:t>
      </w:r>
      <w:r w:rsidRPr="003750B8">
        <w:rPr>
          <w:sz w:val="20"/>
          <w:szCs w:val="20"/>
        </w:rPr>
        <w:t>semiconductors and integrated circuits primarily for the automotive industry; nearly every automobile brand worldwide has Melexis chips in them.  Melexis also develops RF and RFID components for wireless, consumer and industrial products</w:t>
      </w:r>
      <w:r w:rsidR="00E83F90" w:rsidRPr="003750B8">
        <w:rPr>
          <w:sz w:val="20"/>
          <w:szCs w:val="20"/>
        </w:rPr>
        <w:t>.  Melexis generates about $250 million in revenue and has a 4.5% dividend yield.</w:t>
      </w:r>
      <w:r w:rsidR="00ED1E49" w:rsidRPr="003750B8">
        <w:rPr>
          <w:sz w:val="20"/>
          <w:szCs w:val="20"/>
        </w:rPr>
        <w:t xml:space="preserve">  </w:t>
      </w:r>
      <w:r w:rsidR="00ED1E49" w:rsidRPr="003750B8">
        <w:rPr>
          <w:color w:val="222221"/>
          <w:sz w:val="20"/>
          <w:szCs w:val="20"/>
        </w:rPr>
        <w:t xml:space="preserve">The stock was up </w:t>
      </w:r>
      <w:r w:rsidR="00ED1E49" w:rsidRPr="003750B8">
        <w:rPr>
          <w:sz w:val="20"/>
          <w:szCs w:val="20"/>
        </w:rPr>
        <w:t>31</w:t>
      </w:r>
      <w:r w:rsidR="00ED1E49" w:rsidRPr="003750B8">
        <w:rPr>
          <w:color w:val="222221"/>
          <w:sz w:val="20"/>
          <w:szCs w:val="20"/>
        </w:rPr>
        <w:t xml:space="preserve">% in the fourth quarter and contributed </w:t>
      </w:r>
      <w:r w:rsidR="00ED1E49" w:rsidRPr="003750B8">
        <w:rPr>
          <w:sz w:val="20"/>
          <w:szCs w:val="20"/>
        </w:rPr>
        <w:t>70</w:t>
      </w:r>
      <w:r w:rsidR="00ED1E49" w:rsidRPr="003750B8">
        <w:rPr>
          <w:color w:val="222221"/>
          <w:sz w:val="20"/>
          <w:szCs w:val="20"/>
        </w:rPr>
        <w:t xml:space="preserve"> basis points to the overall return of Global and </w:t>
      </w:r>
      <w:r w:rsidR="00ED1E49" w:rsidRPr="003750B8">
        <w:rPr>
          <w:sz w:val="20"/>
          <w:szCs w:val="20"/>
        </w:rPr>
        <w:t>83</w:t>
      </w:r>
      <w:r w:rsidR="00ED1E49" w:rsidRPr="003750B8">
        <w:rPr>
          <w:color w:val="222221"/>
          <w:sz w:val="20"/>
          <w:szCs w:val="20"/>
        </w:rPr>
        <w:t xml:space="preserve"> basis points to the overall return of International.</w:t>
      </w:r>
    </w:p>
    <w:p w:rsidR="00E83F90" w:rsidRPr="003750B8" w:rsidRDefault="00E83F90" w:rsidP="009245F5">
      <w:pPr>
        <w:ind w:right="-270"/>
        <w:rPr>
          <w:sz w:val="20"/>
          <w:szCs w:val="20"/>
        </w:rPr>
      </w:pPr>
    </w:p>
    <w:p w:rsidR="007720E4" w:rsidRPr="003750B8" w:rsidRDefault="00FA20A7" w:rsidP="009245F5">
      <w:pPr>
        <w:ind w:right="-270"/>
        <w:rPr>
          <w:i/>
          <w:sz w:val="20"/>
          <w:szCs w:val="20"/>
          <w:u w:val="single"/>
        </w:rPr>
      </w:pPr>
      <w:r w:rsidRPr="003750B8">
        <w:rPr>
          <w:i/>
          <w:sz w:val="20"/>
          <w:szCs w:val="20"/>
          <w:u w:val="single"/>
        </w:rPr>
        <w:t>RPS Group PLC</w:t>
      </w:r>
    </w:p>
    <w:p w:rsidR="007720E4" w:rsidRPr="003750B8" w:rsidRDefault="00E83F90" w:rsidP="00ED1E49">
      <w:pPr>
        <w:widowControl w:val="0"/>
        <w:autoSpaceDE w:val="0"/>
        <w:autoSpaceDN w:val="0"/>
        <w:adjustRightInd w:val="0"/>
        <w:rPr>
          <w:color w:val="222221"/>
          <w:sz w:val="20"/>
          <w:szCs w:val="20"/>
        </w:rPr>
      </w:pPr>
      <w:r w:rsidRPr="003750B8">
        <w:rPr>
          <w:sz w:val="20"/>
          <w:szCs w:val="20"/>
        </w:rPr>
        <w:t xml:space="preserve">RPS Group is a </w:t>
      </w:r>
      <w:r w:rsidR="00072937" w:rsidRPr="003750B8">
        <w:rPr>
          <w:sz w:val="20"/>
          <w:szCs w:val="20"/>
        </w:rPr>
        <w:t xml:space="preserve">UK-based </w:t>
      </w:r>
      <w:r w:rsidRPr="003750B8">
        <w:rPr>
          <w:sz w:val="20"/>
          <w:szCs w:val="20"/>
        </w:rPr>
        <w:t xml:space="preserve">consulting firm </w:t>
      </w:r>
      <w:r w:rsidR="00072937" w:rsidRPr="003750B8">
        <w:rPr>
          <w:sz w:val="20"/>
          <w:szCs w:val="20"/>
        </w:rPr>
        <w:t xml:space="preserve">based in </w:t>
      </w:r>
      <w:r w:rsidRPr="003750B8">
        <w:rPr>
          <w:sz w:val="20"/>
          <w:szCs w:val="20"/>
        </w:rPr>
        <w:t xml:space="preserve">that specializes in the energy sector.  The company </w:t>
      </w:r>
      <w:r w:rsidR="00072937" w:rsidRPr="003750B8">
        <w:rPr>
          <w:sz w:val="20"/>
          <w:szCs w:val="20"/>
        </w:rPr>
        <w:t xml:space="preserve">was founded in 1972 and </w:t>
      </w:r>
      <w:r w:rsidRPr="003750B8">
        <w:rPr>
          <w:sz w:val="20"/>
          <w:szCs w:val="20"/>
        </w:rPr>
        <w:t>provides advice on exploration and production, property development</w:t>
      </w:r>
      <w:r w:rsidR="00072937" w:rsidRPr="003750B8">
        <w:rPr>
          <w:sz w:val="20"/>
          <w:szCs w:val="20"/>
        </w:rPr>
        <w:t>, infrastructure and environmental management.</w:t>
      </w:r>
      <w:r w:rsidR="002F3D42" w:rsidRPr="003750B8">
        <w:rPr>
          <w:sz w:val="20"/>
          <w:szCs w:val="20"/>
        </w:rPr>
        <w:t xml:space="preserve">  RPS has a $830 million market-</w:t>
      </w:r>
      <w:r w:rsidR="00072937" w:rsidRPr="003750B8">
        <w:rPr>
          <w:sz w:val="20"/>
          <w:szCs w:val="20"/>
        </w:rPr>
        <w:t>cap, generates $475 million in revenue and has a 2.4% dividend yield.</w:t>
      </w:r>
      <w:r w:rsidR="00ED1E49" w:rsidRPr="003750B8">
        <w:rPr>
          <w:sz w:val="20"/>
          <w:szCs w:val="20"/>
        </w:rPr>
        <w:t xml:space="preserve">  </w:t>
      </w:r>
      <w:r w:rsidR="00ED1E49" w:rsidRPr="003750B8">
        <w:rPr>
          <w:color w:val="222221"/>
          <w:sz w:val="20"/>
          <w:szCs w:val="20"/>
        </w:rPr>
        <w:t xml:space="preserve">The stock was up </w:t>
      </w:r>
      <w:r w:rsidR="00ED1E49" w:rsidRPr="003750B8">
        <w:rPr>
          <w:sz w:val="20"/>
          <w:szCs w:val="20"/>
        </w:rPr>
        <w:t>35</w:t>
      </w:r>
      <w:r w:rsidR="00ED1E49" w:rsidRPr="003750B8">
        <w:rPr>
          <w:color w:val="222221"/>
          <w:sz w:val="20"/>
          <w:szCs w:val="20"/>
        </w:rPr>
        <w:t xml:space="preserve">% in the fourth quarter and contributed </w:t>
      </w:r>
      <w:r w:rsidR="00ED1E49" w:rsidRPr="003750B8">
        <w:rPr>
          <w:sz w:val="20"/>
          <w:szCs w:val="20"/>
        </w:rPr>
        <w:t>52</w:t>
      </w:r>
      <w:r w:rsidR="00ED1E49" w:rsidRPr="003750B8">
        <w:rPr>
          <w:color w:val="222221"/>
          <w:sz w:val="20"/>
          <w:szCs w:val="20"/>
        </w:rPr>
        <w:t xml:space="preserve"> basis points to the overall return of Global and </w:t>
      </w:r>
      <w:r w:rsidR="00ED1E49" w:rsidRPr="003750B8">
        <w:rPr>
          <w:sz w:val="20"/>
          <w:szCs w:val="20"/>
        </w:rPr>
        <w:t>85</w:t>
      </w:r>
      <w:r w:rsidR="00ED1E49" w:rsidRPr="003750B8">
        <w:rPr>
          <w:color w:val="222221"/>
          <w:sz w:val="20"/>
          <w:szCs w:val="20"/>
        </w:rPr>
        <w:t xml:space="preserve"> basis points to the overall return of International.</w:t>
      </w:r>
    </w:p>
    <w:p w:rsidR="00E83F90" w:rsidRPr="003750B8" w:rsidRDefault="00E83F90" w:rsidP="009245F5">
      <w:pPr>
        <w:ind w:right="-270"/>
        <w:rPr>
          <w:sz w:val="20"/>
          <w:szCs w:val="20"/>
        </w:rPr>
      </w:pPr>
    </w:p>
    <w:p w:rsidR="007720E4" w:rsidRPr="003750B8" w:rsidRDefault="00762BDE" w:rsidP="009245F5">
      <w:pPr>
        <w:ind w:right="-270"/>
        <w:rPr>
          <w:i/>
          <w:sz w:val="20"/>
          <w:szCs w:val="20"/>
          <w:u w:val="single"/>
        </w:rPr>
      </w:pPr>
      <w:r w:rsidRPr="003750B8">
        <w:rPr>
          <w:i/>
          <w:sz w:val="20"/>
          <w:szCs w:val="20"/>
          <w:u w:val="single"/>
        </w:rPr>
        <w:t>Monotaro Co Ltd</w:t>
      </w:r>
    </w:p>
    <w:p w:rsidR="003F621D" w:rsidRPr="003750B8" w:rsidRDefault="003F621D" w:rsidP="00ED1E49">
      <w:pPr>
        <w:widowControl w:val="0"/>
        <w:autoSpaceDE w:val="0"/>
        <w:autoSpaceDN w:val="0"/>
        <w:adjustRightInd w:val="0"/>
        <w:rPr>
          <w:color w:val="222221"/>
          <w:sz w:val="20"/>
          <w:szCs w:val="20"/>
        </w:rPr>
      </w:pPr>
      <w:r w:rsidRPr="003750B8">
        <w:rPr>
          <w:sz w:val="20"/>
          <w:szCs w:val="20"/>
        </w:rPr>
        <w:t>Monotaro</w:t>
      </w:r>
      <w:r w:rsidR="002F3D42" w:rsidRPr="003750B8">
        <w:rPr>
          <w:sz w:val="20"/>
          <w:szCs w:val="20"/>
        </w:rPr>
        <w:t xml:space="preserve"> is a $485 million market-</w:t>
      </w:r>
      <w:r w:rsidRPr="003750B8">
        <w:rPr>
          <w:sz w:val="20"/>
          <w:szCs w:val="20"/>
        </w:rPr>
        <w:t xml:space="preserve">cap distributer of factory parts and materials based in </w:t>
      </w:r>
      <w:r w:rsidR="00C1357A" w:rsidRPr="003750B8">
        <w:rPr>
          <w:sz w:val="20"/>
          <w:szCs w:val="20"/>
        </w:rPr>
        <w:t xml:space="preserve">Amagasaki, </w:t>
      </w:r>
      <w:r w:rsidRPr="003750B8">
        <w:rPr>
          <w:sz w:val="20"/>
          <w:szCs w:val="20"/>
        </w:rPr>
        <w:t xml:space="preserve">Japan.  The </w:t>
      </w:r>
      <w:r w:rsidRPr="003750B8">
        <w:rPr>
          <w:sz w:val="20"/>
          <w:szCs w:val="20"/>
        </w:rPr>
        <w:lastRenderedPageBreak/>
        <w:t xml:space="preserve">company has three main business segments: factory supplies, factory replacement parts, and office supplies.  </w:t>
      </w:r>
      <w:r w:rsidR="00C1357A" w:rsidRPr="003750B8">
        <w:rPr>
          <w:sz w:val="20"/>
          <w:szCs w:val="20"/>
        </w:rPr>
        <w:t>The company generates about $265 million of revenue and pays a small dividend.</w:t>
      </w:r>
      <w:r w:rsidR="00ED1E49" w:rsidRPr="003750B8">
        <w:rPr>
          <w:sz w:val="20"/>
          <w:szCs w:val="20"/>
        </w:rPr>
        <w:t xml:space="preserve">  </w:t>
      </w:r>
      <w:r w:rsidR="00ED1E49" w:rsidRPr="003750B8">
        <w:rPr>
          <w:color w:val="222221"/>
          <w:sz w:val="20"/>
          <w:szCs w:val="20"/>
        </w:rPr>
        <w:t xml:space="preserve">The stock was up </w:t>
      </w:r>
      <w:r w:rsidR="00ED1E49" w:rsidRPr="003750B8">
        <w:rPr>
          <w:sz w:val="20"/>
          <w:szCs w:val="20"/>
        </w:rPr>
        <w:t>46</w:t>
      </w:r>
      <w:r w:rsidR="00ED1E49" w:rsidRPr="003750B8">
        <w:rPr>
          <w:color w:val="222221"/>
          <w:sz w:val="20"/>
          <w:szCs w:val="20"/>
        </w:rPr>
        <w:t xml:space="preserve">% in the fourth quarter and contributed </w:t>
      </w:r>
      <w:r w:rsidR="00ED1E49" w:rsidRPr="003750B8">
        <w:rPr>
          <w:sz w:val="20"/>
          <w:szCs w:val="20"/>
        </w:rPr>
        <w:t>49</w:t>
      </w:r>
      <w:r w:rsidR="00ED1E49" w:rsidRPr="003750B8">
        <w:rPr>
          <w:color w:val="222221"/>
          <w:sz w:val="20"/>
          <w:szCs w:val="20"/>
        </w:rPr>
        <w:t xml:space="preserve"> basis points to the overall return of Global and </w:t>
      </w:r>
      <w:r w:rsidR="00ED1E49" w:rsidRPr="003750B8">
        <w:rPr>
          <w:sz w:val="20"/>
          <w:szCs w:val="20"/>
        </w:rPr>
        <w:t>67</w:t>
      </w:r>
      <w:r w:rsidR="00ED1E49" w:rsidRPr="003750B8">
        <w:rPr>
          <w:color w:val="222221"/>
          <w:sz w:val="20"/>
          <w:szCs w:val="20"/>
        </w:rPr>
        <w:t xml:space="preserve"> basis points to the overall return of International.</w:t>
      </w:r>
    </w:p>
    <w:p w:rsidR="003F621D" w:rsidRPr="003750B8" w:rsidRDefault="003F621D" w:rsidP="009245F5">
      <w:pPr>
        <w:ind w:right="-270"/>
        <w:rPr>
          <w:sz w:val="20"/>
          <w:szCs w:val="20"/>
        </w:rPr>
      </w:pPr>
    </w:p>
    <w:p w:rsidR="007720E4" w:rsidRPr="003750B8" w:rsidRDefault="00762BDE" w:rsidP="009245F5">
      <w:pPr>
        <w:ind w:right="-270"/>
        <w:rPr>
          <w:i/>
          <w:sz w:val="20"/>
          <w:szCs w:val="20"/>
          <w:u w:val="single"/>
        </w:rPr>
      </w:pPr>
      <w:r w:rsidRPr="003750B8">
        <w:rPr>
          <w:i/>
          <w:sz w:val="20"/>
          <w:szCs w:val="20"/>
          <w:u w:val="single"/>
        </w:rPr>
        <w:t>Super Retail Group Ltd</w:t>
      </w:r>
    </w:p>
    <w:p w:rsidR="005E044C" w:rsidRPr="003750B8" w:rsidRDefault="002F3D42" w:rsidP="009245F5">
      <w:pPr>
        <w:widowControl w:val="0"/>
        <w:autoSpaceDE w:val="0"/>
        <w:autoSpaceDN w:val="0"/>
        <w:adjustRightInd w:val="0"/>
        <w:rPr>
          <w:color w:val="222221"/>
          <w:sz w:val="20"/>
          <w:szCs w:val="20"/>
        </w:rPr>
      </w:pPr>
      <w:r w:rsidRPr="003750B8">
        <w:rPr>
          <w:color w:val="222221"/>
          <w:sz w:val="20"/>
          <w:szCs w:val="20"/>
        </w:rPr>
        <w:t>Super Retail Group is a $1.6 billion market-cap</w:t>
      </w:r>
      <w:r w:rsidR="00C1357A" w:rsidRPr="003750B8">
        <w:rPr>
          <w:color w:val="222221"/>
          <w:sz w:val="20"/>
          <w:szCs w:val="20"/>
        </w:rPr>
        <w:t xml:space="preserve"> </w:t>
      </w:r>
      <w:r w:rsidRPr="003750B8">
        <w:rPr>
          <w:color w:val="222221"/>
          <w:sz w:val="20"/>
          <w:szCs w:val="20"/>
        </w:rPr>
        <w:t>retailing group based in Brisbane, Australia.  The company generates about $2 billion in revenue from its 560+ stores across Australia and New Zealand.  The company operates se</w:t>
      </w:r>
      <w:r w:rsidR="00203353" w:rsidRPr="003750B8">
        <w:rPr>
          <w:color w:val="222221"/>
          <w:sz w:val="20"/>
          <w:szCs w:val="20"/>
        </w:rPr>
        <w:t xml:space="preserve">ven brands across four </w:t>
      </w:r>
      <w:r w:rsidRPr="003750B8">
        <w:rPr>
          <w:color w:val="222221"/>
          <w:sz w:val="20"/>
          <w:szCs w:val="20"/>
        </w:rPr>
        <w:t>different segments: auto parts, outdoor/camping</w:t>
      </w:r>
      <w:r w:rsidR="00203353" w:rsidRPr="003750B8">
        <w:rPr>
          <w:color w:val="222221"/>
          <w:sz w:val="20"/>
          <w:szCs w:val="20"/>
        </w:rPr>
        <w:t>/</w:t>
      </w:r>
      <w:r w:rsidRPr="003750B8">
        <w:rPr>
          <w:color w:val="222221"/>
          <w:sz w:val="20"/>
          <w:szCs w:val="20"/>
        </w:rPr>
        <w:t>fishing gear, cycling, and sporting goods.</w:t>
      </w:r>
      <w:r w:rsidR="00ED1E49" w:rsidRPr="003750B8">
        <w:rPr>
          <w:color w:val="222221"/>
          <w:sz w:val="20"/>
          <w:szCs w:val="20"/>
        </w:rPr>
        <w:t xml:space="preserve">  The stock was up </w:t>
      </w:r>
      <w:r w:rsidR="00ED1E49" w:rsidRPr="003750B8">
        <w:rPr>
          <w:sz w:val="20"/>
          <w:szCs w:val="20"/>
        </w:rPr>
        <w:t>48</w:t>
      </w:r>
      <w:r w:rsidR="00ED1E49" w:rsidRPr="003750B8">
        <w:rPr>
          <w:color w:val="222221"/>
          <w:sz w:val="20"/>
          <w:szCs w:val="20"/>
        </w:rPr>
        <w:t xml:space="preserve">% in the fourth quarter and contributed </w:t>
      </w:r>
      <w:r w:rsidR="00ED1E49" w:rsidRPr="003750B8">
        <w:rPr>
          <w:sz w:val="20"/>
          <w:szCs w:val="20"/>
        </w:rPr>
        <w:t>46</w:t>
      </w:r>
      <w:r w:rsidR="00ED1E49" w:rsidRPr="003750B8">
        <w:rPr>
          <w:color w:val="222221"/>
          <w:sz w:val="20"/>
          <w:szCs w:val="20"/>
        </w:rPr>
        <w:t xml:space="preserve"> basis points to the overall return of Global and </w:t>
      </w:r>
      <w:r w:rsidR="00ED1E49" w:rsidRPr="003750B8">
        <w:rPr>
          <w:sz w:val="20"/>
          <w:szCs w:val="20"/>
        </w:rPr>
        <w:t>54</w:t>
      </w:r>
      <w:r w:rsidR="00ED1E49" w:rsidRPr="003750B8">
        <w:rPr>
          <w:color w:val="222221"/>
          <w:sz w:val="20"/>
          <w:szCs w:val="20"/>
        </w:rPr>
        <w:t xml:space="preserve"> basis points to the overall return of International.</w:t>
      </w:r>
    </w:p>
    <w:p w:rsidR="002F3D42" w:rsidRPr="003750B8" w:rsidRDefault="002F3D42" w:rsidP="009245F5">
      <w:pPr>
        <w:widowControl w:val="0"/>
        <w:autoSpaceDE w:val="0"/>
        <w:autoSpaceDN w:val="0"/>
        <w:adjustRightInd w:val="0"/>
        <w:rPr>
          <w:color w:val="222221"/>
          <w:sz w:val="20"/>
          <w:szCs w:val="20"/>
        </w:rPr>
      </w:pPr>
    </w:p>
    <w:p w:rsidR="007720E4" w:rsidRPr="003750B8" w:rsidRDefault="00FA20A7" w:rsidP="009245F5">
      <w:pPr>
        <w:ind w:right="-270"/>
        <w:rPr>
          <w:bCs/>
          <w:i/>
          <w:sz w:val="20"/>
          <w:szCs w:val="20"/>
          <w:u w:val="single"/>
        </w:rPr>
      </w:pPr>
      <w:r w:rsidRPr="003750B8">
        <w:rPr>
          <w:bCs/>
          <w:i/>
          <w:sz w:val="20"/>
          <w:szCs w:val="20"/>
          <w:u w:val="single"/>
        </w:rPr>
        <w:t xml:space="preserve">Magellan </w:t>
      </w:r>
      <w:r w:rsidR="00762BDE" w:rsidRPr="003750B8">
        <w:rPr>
          <w:bCs/>
          <w:i/>
          <w:sz w:val="20"/>
          <w:szCs w:val="20"/>
          <w:u w:val="single"/>
        </w:rPr>
        <w:t>Financial Group Ltd</w:t>
      </w:r>
    </w:p>
    <w:p w:rsidR="007720E4" w:rsidRPr="003750B8" w:rsidRDefault="00203353" w:rsidP="00ED1E49">
      <w:pPr>
        <w:widowControl w:val="0"/>
        <w:autoSpaceDE w:val="0"/>
        <w:autoSpaceDN w:val="0"/>
        <w:adjustRightInd w:val="0"/>
        <w:rPr>
          <w:color w:val="222221"/>
          <w:sz w:val="20"/>
          <w:szCs w:val="20"/>
        </w:rPr>
      </w:pPr>
      <w:r w:rsidRPr="003750B8">
        <w:rPr>
          <w:color w:val="222221"/>
          <w:sz w:val="20"/>
          <w:szCs w:val="20"/>
        </w:rPr>
        <w:t xml:space="preserve">Magellan Financial Group is a $275 million market-cap investment management firm based in Sydney, Australia.  Magellan manages three global equity funds principally for high net worth and retail investors in Australia and New Zealand.  The company has close to $3 billion of assets under management and generates revenue of about $15 million.  </w:t>
      </w:r>
      <w:r w:rsidR="00ED1E49" w:rsidRPr="003750B8">
        <w:rPr>
          <w:color w:val="222221"/>
          <w:sz w:val="20"/>
          <w:szCs w:val="20"/>
        </w:rPr>
        <w:t xml:space="preserve">The stock was up </w:t>
      </w:r>
      <w:r w:rsidR="00ED1E49" w:rsidRPr="003750B8">
        <w:rPr>
          <w:sz w:val="20"/>
          <w:szCs w:val="20"/>
        </w:rPr>
        <w:t>28</w:t>
      </w:r>
      <w:r w:rsidR="00ED1E49" w:rsidRPr="003750B8">
        <w:rPr>
          <w:color w:val="222221"/>
          <w:sz w:val="20"/>
          <w:szCs w:val="20"/>
        </w:rPr>
        <w:t xml:space="preserve">% in the fourth quarter and contributed </w:t>
      </w:r>
      <w:r w:rsidR="00ED1E49" w:rsidRPr="003750B8">
        <w:rPr>
          <w:sz w:val="20"/>
          <w:szCs w:val="20"/>
        </w:rPr>
        <w:t>43</w:t>
      </w:r>
      <w:r w:rsidR="00ED1E49" w:rsidRPr="003750B8">
        <w:rPr>
          <w:color w:val="222221"/>
          <w:sz w:val="20"/>
          <w:szCs w:val="20"/>
        </w:rPr>
        <w:t xml:space="preserve"> basis points to the overall return of Global and </w:t>
      </w:r>
      <w:r w:rsidR="00ED1E49" w:rsidRPr="003750B8">
        <w:rPr>
          <w:sz w:val="20"/>
          <w:szCs w:val="20"/>
        </w:rPr>
        <w:t>51</w:t>
      </w:r>
      <w:r w:rsidR="00ED1E49" w:rsidRPr="003750B8">
        <w:rPr>
          <w:color w:val="222221"/>
          <w:sz w:val="20"/>
          <w:szCs w:val="20"/>
        </w:rPr>
        <w:t xml:space="preserve"> basis points to the overall return of International.</w:t>
      </w:r>
    </w:p>
    <w:p w:rsidR="00203353" w:rsidRPr="003750B8" w:rsidRDefault="00203353" w:rsidP="009245F5">
      <w:pPr>
        <w:ind w:right="-270"/>
        <w:rPr>
          <w:color w:val="222221"/>
          <w:sz w:val="20"/>
          <w:szCs w:val="20"/>
        </w:rPr>
      </w:pPr>
    </w:p>
    <w:p w:rsidR="007720E4" w:rsidRPr="003750B8" w:rsidRDefault="007720E4" w:rsidP="009245F5">
      <w:pPr>
        <w:ind w:right="-270"/>
        <w:rPr>
          <w:i/>
          <w:sz w:val="20"/>
          <w:szCs w:val="20"/>
          <w:u w:val="single"/>
        </w:rPr>
      </w:pPr>
      <w:r w:rsidRPr="003750B8">
        <w:rPr>
          <w:i/>
          <w:sz w:val="20"/>
          <w:szCs w:val="20"/>
          <w:u w:val="single"/>
        </w:rPr>
        <w:t>Other notable gainers for the quarter:</w:t>
      </w:r>
    </w:p>
    <w:p w:rsidR="007720E4" w:rsidRPr="003750B8" w:rsidRDefault="00762BDE" w:rsidP="00974666">
      <w:pPr>
        <w:pStyle w:val="ListParagraph"/>
        <w:numPr>
          <w:ilvl w:val="0"/>
          <w:numId w:val="2"/>
        </w:numPr>
        <w:ind w:left="540" w:right="-270"/>
        <w:rPr>
          <w:sz w:val="20"/>
          <w:szCs w:val="20"/>
        </w:rPr>
      </w:pPr>
      <w:r w:rsidRPr="003750B8">
        <w:rPr>
          <w:sz w:val="20"/>
          <w:szCs w:val="20"/>
        </w:rPr>
        <w:t>Pan Orient Energy Corp (</w:t>
      </w:r>
      <w:r w:rsidR="00BE5E01" w:rsidRPr="003750B8">
        <w:rPr>
          <w:sz w:val="20"/>
          <w:szCs w:val="20"/>
        </w:rPr>
        <w:t>oil and gas</w:t>
      </w:r>
      <w:r w:rsidRPr="003750B8">
        <w:rPr>
          <w:sz w:val="20"/>
          <w:szCs w:val="20"/>
        </w:rPr>
        <w:t>) – up 108% in 1</w:t>
      </w:r>
      <w:r w:rsidR="007720E4" w:rsidRPr="003750B8">
        <w:rPr>
          <w:sz w:val="20"/>
          <w:szCs w:val="20"/>
        </w:rPr>
        <w:t>Q1</w:t>
      </w:r>
      <w:r w:rsidRPr="003750B8">
        <w:rPr>
          <w:sz w:val="20"/>
          <w:szCs w:val="20"/>
        </w:rPr>
        <w:t>2</w:t>
      </w:r>
      <w:r w:rsidR="0024579A" w:rsidRPr="003750B8">
        <w:rPr>
          <w:rStyle w:val="FootnoteReference"/>
          <w:color w:val="FFFFFF" w:themeColor="background1"/>
          <w:sz w:val="20"/>
          <w:szCs w:val="20"/>
        </w:rPr>
        <w:footnoteReference w:id="6"/>
      </w:r>
    </w:p>
    <w:p w:rsidR="007720E4" w:rsidRPr="003750B8" w:rsidRDefault="00762BDE" w:rsidP="00974666">
      <w:pPr>
        <w:pStyle w:val="ListParagraph"/>
        <w:numPr>
          <w:ilvl w:val="0"/>
          <w:numId w:val="2"/>
        </w:numPr>
        <w:tabs>
          <w:tab w:val="left" w:pos="7560"/>
        </w:tabs>
        <w:ind w:left="540" w:right="-270"/>
        <w:rPr>
          <w:sz w:val="20"/>
          <w:szCs w:val="20"/>
        </w:rPr>
      </w:pPr>
      <w:r w:rsidRPr="003750B8">
        <w:rPr>
          <w:sz w:val="20"/>
          <w:szCs w:val="20"/>
        </w:rPr>
        <w:t>Ausenco Ltd</w:t>
      </w:r>
      <w:r w:rsidR="007720E4" w:rsidRPr="003750B8">
        <w:rPr>
          <w:sz w:val="20"/>
          <w:szCs w:val="20"/>
        </w:rPr>
        <w:t xml:space="preserve"> (</w:t>
      </w:r>
      <w:r w:rsidR="008D0EE8" w:rsidRPr="003750B8">
        <w:rPr>
          <w:sz w:val="20"/>
          <w:szCs w:val="20"/>
        </w:rPr>
        <w:t>mining engineering</w:t>
      </w:r>
      <w:r w:rsidRPr="003750B8">
        <w:rPr>
          <w:sz w:val="20"/>
          <w:szCs w:val="20"/>
        </w:rPr>
        <w:t>) – up 8</w:t>
      </w:r>
      <w:r w:rsidR="007720E4" w:rsidRPr="003750B8">
        <w:rPr>
          <w:sz w:val="20"/>
          <w:szCs w:val="20"/>
        </w:rPr>
        <w:t xml:space="preserve">1% in </w:t>
      </w:r>
      <w:r w:rsidRPr="003750B8">
        <w:rPr>
          <w:sz w:val="20"/>
          <w:szCs w:val="20"/>
        </w:rPr>
        <w:t>1Q12</w:t>
      </w:r>
    </w:p>
    <w:p w:rsidR="00762BDE" w:rsidRPr="003750B8" w:rsidRDefault="00762BDE" w:rsidP="00762BDE">
      <w:pPr>
        <w:pStyle w:val="ListParagraph"/>
        <w:numPr>
          <w:ilvl w:val="0"/>
          <w:numId w:val="2"/>
        </w:numPr>
        <w:ind w:left="540" w:right="-270"/>
        <w:rPr>
          <w:sz w:val="20"/>
          <w:szCs w:val="20"/>
        </w:rPr>
      </w:pPr>
      <w:r w:rsidRPr="003750B8">
        <w:rPr>
          <w:sz w:val="20"/>
          <w:szCs w:val="20"/>
        </w:rPr>
        <w:t>Eugene Technology Co</w:t>
      </w:r>
      <w:r w:rsidR="008D0EE8" w:rsidRPr="003750B8">
        <w:rPr>
          <w:sz w:val="20"/>
          <w:szCs w:val="20"/>
        </w:rPr>
        <w:t>mpany (semiconductor equipment</w:t>
      </w:r>
      <w:r w:rsidRPr="003750B8">
        <w:rPr>
          <w:sz w:val="20"/>
          <w:szCs w:val="20"/>
        </w:rPr>
        <w:t>) – up 65% in 1Q12</w:t>
      </w:r>
    </w:p>
    <w:p w:rsidR="007720E4" w:rsidRPr="003750B8" w:rsidRDefault="00762BDE" w:rsidP="00974666">
      <w:pPr>
        <w:pStyle w:val="ListParagraph"/>
        <w:numPr>
          <w:ilvl w:val="0"/>
          <w:numId w:val="2"/>
        </w:numPr>
        <w:ind w:left="540" w:right="-270"/>
        <w:rPr>
          <w:sz w:val="20"/>
          <w:szCs w:val="20"/>
        </w:rPr>
      </w:pPr>
      <w:r w:rsidRPr="003750B8">
        <w:rPr>
          <w:sz w:val="20"/>
          <w:szCs w:val="20"/>
        </w:rPr>
        <w:t>Billabong International Ltd</w:t>
      </w:r>
      <w:r w:rsidR="007720E4" w:rsidRPr="003750B8">
        <w:rPr>
          <w:sz w:val="20"/>
          <w:szCs w:val="20"/>
        </w:rPr>
        <w:t xml:space="preserve"> (</w:t>
      </w:r>
      <w:r w:rsidR="006078BE" w:rsidRPr="003750B8">
        <w:rPr>
          <w:sz w:val="20"/>
          <w:szCs w:val="20"/>
        </w:rPr>
        <w:t>apparel/specialty retailing</w:t>
      </w:r>
      <w:r w:rsidRPr="003750B8">
        <w:rPr>
          <w:sz w:val="20"/>
          <w:szCs w:val="20"/>
        </w:rPr>
        <w:t>) – up 60</w:t>
      </w:r>
      <w:r w:rsidR="007720E4" w:rsidRPr="003750B8">
        <w:rPr>
          <w:sz w:val="20"/>
          <w:szCs w:val="20"/>
        </w:rPr>
        <w:t xml:space="preserve">% in </w:t>
      </w:r>
      <w:r w:rsidRPr="003750B8">
        <w:rPr>
          <w:sz w:val="20"/>
          <w:szCs w:val="20"/>
        </w:rPr>
        <w:t>1Q12</w:t>
      </w:r>
    </w:p>
    <w:p w:rsidR="007720E4" w:rsidRPr="003750B8" w:rsidRDefault="00762BDE" w:rsidP="00974666">
      <w:pPr>
        <w:pStyle w:val="ListParagraph"/>
        <w:numPr>
          <w:ilvl w:val="0"/>
          <w:numId w:val="2"/>
        </w:numPr>
        <w:ind w:left="540" w:right="-270"/>
        <w:rPr>
          <w:sz w:val="20"/>
          <w:szCs w:val="20"/>
        </w:rPr>
      </w:pPr>
      <w:r w:rsidRPr="003750B8">
        <w:rPr>
          <w:sz w:val="20"/>
          <w:szCs w:val="20"/>
        </w:rPr>
        <w:t>Afren PLC (</w:t>
      </w:r>
      <w:r w:rsidR="006078BE" w:rsidRPr="003750B8">
        <w:rPr>
          <w:sz w:val="20"/>
          <w:szCs w:val="20"/>
        </w:rPr>
        <w:t>oil exploration</w:t>
      </w:r>
      <w:r w:rsidRPr="003750B8">
        <w:rPr>
          <w:sz w:val="20"/>
          <w:szCs w:val="20"/>
        </w:rPr>
        <w:t>) – up 55</w:t>
      </w:r>
      <w:r w:rsidR="007720E4" w:rsidRPr="003750B8">
        <w:rPr>
          <w:sz w:val="20"/>
          <w:szCs w:val="20"/>
        </w:rPr>
        <w:t xml:space="preserve">% in </w:t>
      </w:r>
      <w:r w:rsidRPr="003750B8">
        <w:rPr>
          <w:sz w:val="20"/>
          <w:szCs w:val="20"/>
        </w:rPr>
        <w:t>1Q12</w:t>
      </w:r>
    </w:p>
    <w:p w:rsidR="007720E4" w:rsidRPr="003750B8" w:rsidRDefault="007720E4" w:rsidP="009245F5">
      <w:pPr>
        <w:pStyle w:val="ListParagraph"/>
        <w:ind w:left="0" w:right="-270"/>
        <w:rPr>
          <w:sz w:val="20"/>
          <w:szCs w:val="20"/>
        </w:rPr>
      </w:pPr>
    </w:p>
    <w:p w:rsidR="007720E4" w:rsidRPr="003750B8" w:rsidRDefault="007720E4" w:rsidP="009245F5">
      <w:pPr>
        <w:ind w:right="-270"/>
        <w:rPr>
          <w:sz w:val="20"/>
          <w:szCs w:val="20"/>
          <w:u w:val="single"/>
        </w:rPr>
      </w:pPr>
      <w:r w:rsidRPr="003750B8">
        <w:rPr>
          <w:i/>
          <w:sz w:val="20"/>
          <w:szCs w:val="20"/>
          <w:u w:val="single"/>
        </w:rPr>
        <w:t>Top Detractors</w:t>
      </w:r>
    </w:p>
    <w:p w:rsidR="007720E4" w:rsidRPr="003750B8" w:rsidRDefault="007720E4" w:rsidP="009245F5">
      <w:pPr>
        <w:ind w:right="-270"/>
        <w:rPr>
          <w:sz w:val="20"/>
          <w:szCs w:val="20"/>
        </w:rPr>
      </w:pPr>
      <w:r w:rsidRPr="003750B8">
        <w:rPr>
          <w:sz w:val="20"/>
          <w:szCs w:val="20"/>
        </w:rPr>
        <w:t>For the fourth quarter of 2011 are top five detractors to performance across both funds were:</w:t>
      </w:r>
    </w:p>
    <w:p w:rsidR="007720E4" w:rsidRPr="003750B8" w:rsidRDefault="007720E4" w:rsidP="009245F5">
      <w:pPr>
        <w:ind w:right="-270"/>
        <w:rPr>
          <w:sz w:val="20"/>
          <w:szCs w:val="20"/>
        </w:rPr>
      </w:pPr>
    </w:p>
    <w:p w:rsidR="007720E4" w:rsidRPr="003750B8" w:rsidRDefault="00FA20A7" w:rsidP="009245F5">
      <w:pPr>
        <w:ind w:right="-270"/>
        <w:rPr>
          <w:i/>
          <w:sz w:val="20"/>
          <w:szCs w:val="20"/>
          <w:u w:val="single"/>
        </w:rPr>
      </w:pPr>
      <w:r w:rsidRPr="003750B8">
        <w:rPr>
          <w:i/>
          <w:sz w:val="20"/>
          <w:szCs w:val="20"/>
          <w:u w:val="single"/>
        </w:rPr>
        <w:t>1000Mercis</w:t>
      </w:r>
    </w:p>
    <w:p w:rsidR="007720E4" w:rsidRPr="003750B8" w:rsidRDefault="00E73669" w:rsidP="00E73669">
      <w:pPr>
        <w:ind w:right="-270"/>
        <w:rPr>
          <w:sz w:val="20"/>
          <w:szCs w:val="20"/>
        </w:rPr>
      </w:pPr>
      <w:r w:rsidRPr="003750B8">
        <w:rPr>
          <w:sz w:val="20"/>
          <w:szCs w:val="20"/>
        </w:rPr>
        <w:t>1000Mercis (</w:t>
      </w:r>
      <w:r w:rsidR="002D5B53" w:rsidRPr="003750B8">
        <w:rPr>
          <w:sz w:val="20"/>
          <w:szCs w:val="20"/>
        </w:rPr>
        <w:t xml:space="preserve">“1,000 thank-you’s” in English, </w:t>
      </w:r>
      <w:r w:rsidRPr="003750B8">
        <w:rPr>
          <w:sz w:val="20"/>
          <w:szCs w:val="20"/>
        </w:rPr>
        <w:t xml:space="preserve">pronounced </w:t>
      </w:r>
      <w:r w:rsidRPr="003750B8">
        <w:rPr>
          <w:i/>
          <w:sz w:val="20"/>
          <w:szCs w:val="20"/>
        </w:rPr>
        <w:t>mille merci</w:t>
      </w:r>
      <w:r w:rsidRPr="003750B8">
        <w:rPr>
          <w:sz w:val="20"/>
          <w:szCs w:val="20"/>
        </w:rPr>
        <w:t xml:space="preserve"> in French)</w:t>
      </w:r>
      <w:r w:rsidR="002D5B53" w:rsidRPr="003750B8">
        <w:rPr>
          <w:sz w:val="20"/>
          <w:szCs w:val="20"/>
        </w:rPr>
        <w:t xml:space="preserve"> provides interactive advertising and marketing services via the internet, mobile phones, texts and emails.  The company is based in Paris, France, has a $150 million market-cap, generates about $50 million of revenue and pays a small dividend.  </w:t>
      </w:r>
      <w:r w:rsidR="002D5B53" w:rsidRPr="003750B8">
        <w:rPr>
          <w:color w:val="222221"/>
          <w:sz w:val="20"/>
          <w:szCs w:val="20"/>
        </w:rPr>
        <w:t xml:space="preserve">The stock was down </w:t>
      </w:r>
      <w:r w:rsidR="002D5B53" w:rsidRPr="003750B8">
        <w:rPr>
          <w:sz w:val="20"/>
          <w:szCs w:val="20"/>
        </w:rPr>
        <w:t>19</w:t>
      </w:r>
      <w:r w:rsidR="002D5B53" w:rsidRPr="003750B8">
        <w:rPr>
          <w:color w:val="222221"/>
          <w:sz w:val="20"/>
          <w:szCs w:val="20"/>
        </w:rPr>
        <w:t xml:space="preserve">% in the fourth quarter and detracted </w:t>
      </w:r>
      <w:r w:rsidR="002D5B53" w:rsidRPr="003750B8">
        <w:rPr>
          <w:sz w:val="20"/>
          <w:szCs w:val="20"/>
        </w:rPr>
        <w:t>14</w:t>
      </w:r>
      <w:r w:rsidR="002D5B53" w:rsidRPr="003750B8">
        <w:rPr>
          <w:color w:val="222221"/>
          <w:sz w:val="20"/>
          <w:szCs w:val="20"/>
        </w:rPr>
        <w:t xml:space="preserve"> basis points to the overall return of Global and </w:t>
      </w:r>
      <w:r w:rsidR="002D5B53" w:rsidRPr="003750B8">
        <w:rPr>
          <w:sz w:val="20"/>
          <w:szCs w:val="20"/>
        </w:rPr>
        <w:t>21</w:t>
      </w:r>
      <w:r w:rsidR="002D5B53" w:rsidRPr="003750B8">
        <w:rPr>
          <w:color w:val="222221"/>
          <w:sz w:val="20"/>
          <w:szCs w:val="20"/>
        </w:rPr>
        <w:t xml:space="preserve"> basis points to the overall return of International.</w:t>
      </w:r>
    </w:p>
    <w:p w:rsidR="00E73669" w:rsidRPr="003750B8" w:rsidRDefault="00E73669" w:rsidP="00E73669">
      <w:pPr>
        <w:ind w:right="-270"/>
        <w:rPr>
          <w:sz w:val="20"/>
          <w:szCs w:val="20"/>
        </w:rPr>
      </w:pPr>
    </w:p>
    <w:p w:rsidR="007720E4" w:rsidRPr="003750B8" w:rsidRDefault="00FA20A7" w:rsidP="009245F5">
      <w:pPr>
        <w:ind w:right="-270"/>
        <w:rPr>
          <w:i/>
          <w:sz w:val="20"/>
          <w:szCs w:val="20"/>
          <w:u w:val="single"/>
        </w:rPr>
      </w:pPr>
      <w:r w:rsidRPr="003750B8">
        <w:rPr>
          <w:i/>
          <w:sz w:val="20"/>
          <w:szCs w:val="20"/>
          <w:u w:val="single"/>
        </w:rPr>
        <w:t>Exillon Energy PLC</w:t>
      </w:r>
    </w:p>
    <w:p w:rsidR="007720E4" w:rsidRPr="003750B8" w:rsidRDefault="002D5B53" w:rsidP="009245F5">
      <w:pPr>
        <w:ind w:right="-270"/>
        <w:rPr>
          <w:color w:val="222221"/>
          <w:sz w:val="20"/>
          <w:szCs w:val="20"/>
        </w:rPr>
      </w:pPr>
      <w:r w:rsidRPr="003750B8">
        <w:rPr>
          <w:sz w:val="20"/>
          <w:szCs w:val="20"/>
        </w:rPr>
        <w:t xml:space="preserve">Exillon is a </w:t>
      </w:r>
      <w:r w:rsidR="00360EB5" w:rsidRPr="003750B8">
        <w:rPr>
          <w:sz w:val="20"/>
          <w:szCs w:val="20"/>
        </w:rPr>
        <w:t xml:space="preserve">$435 million market-cap independent oil exploration and production company with assets in two oil-rich regions of Northern Russia/Siberia.  While the stock is listed on the London Stock Exchange, the company is incorporated in the Isle of Man and maintains its operational headquarters in Urai, Russia.  The company generates $325 million of revenue.  </w:t>
      </w:r>
      <w:r w:rsidR="00360EB5" w:rsidRPr="003750B8">
        <w:rPr>
          <w:color w:val="222221"/>
          <w:sz w:val="20"/>
          <w:szCs w:val="20"/>
        </w:rPr>
        <w:t xml:space="preserve">The stock was down </w:t>
      </w:r>
      <w:r w:rsidR="00360EB5" w:rsidRPr="003750B8">
        <w:rPr>
          <w:sz w:val="20"/>
          <w:szCs w:val="20"/>
        </w:rPr>
        <w:t>31</w:t>
      </w:r>
      <w:r w:rsidR="00360EB5" w:rsidRPr="003750B8">
        <w:rPr>
          <w:color w:val="222221"/>
          <w:sz w:val="20"/>
          <w:szCs w:val="20"/>
        </w:rPr>
        <w:t xml:space="preserve">% in the fourth quarter and detracted </w:t>
      </w:r>
      <w:r w:rsidR="00360EB5" w:rsidRPr="003750B8">
        <w:rPr>
          <w:sz w:val="20"/>
          <w:szCs w:val="20"/>
        </w:rPr>
        <w:t>10</w:t>
      </w:r>
      <w:r w:rsidR="00360EB5" w:rsidRPr="003750B8">
        <w:rPr>
          <w:color w:val="222221"/>
          <w:sz w:val="20"/>
          <w:szCs w:val="20"/>
        </w:rPr>
        <w:t xml:space="preserve"> basis points to the overall return of Global and </w:t>
      </w:r>
      <w:r w:rsidR="00360EB5" w:rsidRPr="003750B8">
        <w:rPr>
          <w:sz w:val="20"/>
          <w:szCs w:val="20"/>
        </w:rPr>
        <w:t>14</w:t>
      </w:r>
      <w:r w:rsidR="00360EB5" w:rsidRPr="003750B8">
        <w:rPr>
          <w:color w:val="222221"/>
          <w:sz w:val="20"/>
          <w:szCs w:val="20"/>
        </w:rPr>
        <w:t xml:space="preserve"> basis points to the overall return of International.</w:t>
      </w:r>
    </w:p>
    <w:p w:rsidR="00360EB5" w:rsidRPr="003750B8" w:rsidRDefault="00360EB5" w:rsidP="009245F5">
      <w:pPr>
        <w:ind w:right="-270"/>
        <w:rPr>
          <w:sz w:val="20"/>
          <w:szCs w:val="20"/>
        </w:rPr>
      </w:pPr>
    </w:p>
    <w:p w:rsidR="007720E4" w:rsidRPr="003750B8" w:rsidRDefault="00FA20A7" w:rsidP="009245F5">
      <w:pPr>
        <w:ind w:right="-270"/>
        <w:rPr>
          <w:i/>
          <w:sz w:val="20"/>
          <w:szCs w:val="20"/>
          <w:u w:val="single"/>
        </w:rPr>
      </w:pPr>
      <w:r w:rsidRPr="003750B8">
        <w:rPr>
          <w:i/>
          <w:sz w:val="20"/>
          <w:szCs w:val="20"/>
          <w:u w:val="single"/>
        </w:rPr>
        <w:t>Highland Gold Mining Ltd</w:t>
      </w:r>
    </w:p>
    <w:p w:rsidR="007720E4" w:rsidRPr="003750B8" w:rsidRDefault="00F33392" w:rsidP="00E73669">
      <w:pPr>
        <w:ind w:right="-270"/>
        <w:rPr>
          <w:color w:val="222221"/>
          <w:sz w:val="20"/>
          <w:szCs w:val="20"/>
        </w:rPr>
      </w:pPr>
      <w:r w:rsidRPr="003750B8">
        <w:rPr>
          <w:sz w:val="20"/>
          <w:szCs w:val="20"/>
        </w:rPr>
        <w:t xml:space="preserve">Highland Gold is a $730 million market-cap gold mining company with mining operations within the Russian Federation.  The company is incorporated in Jersey and listed on the London Stock Exchange.  The company generates about $335 million of revenue and has a 1.8% dividend yield.  </w:t>
      </w:r>
      <w:r w:rsidRPr="003750B8">
        <w:rPr>
          <w:color w:val="222221"/>
          <w:sz w:val="20"/>
          <w:szCs w:val="20"/>
        </w:rPr>
        <w:t xml:space="preserve">The stock was down </w:t>
      </w:r>
      <w:r w:rsidRPr="003750B8">
        <w:rPr>
          <w:sz w:val="20"/>
          <w:szCs w:val="20"/>
        </w:rPr>
        <w:t>28</w:t>
      </w:r>
      <w:r w:rsidRPr="003750B8">
        <w:rPr>
          <w:color w:val="222221"/>
          <w:sz w:val="20"/>
          <w:szCs w:val="20"/>
        </w:rPr>
        <w:t xml:space="preserve">% in the fourth quarter and detracted </w:t>
      </w:r>
      <w:r w:rsidRPr="003750B8">
        <w:rPr>
          <w:sz w:val="20"/>
          <w:szCs w:val="20"/>
        </w:rPr>
        <w:t>7</w:t>
      </w:r>
      <w:r w:rsidRPr="003750B8">
        <w:rPr>
          <w:color w:val="222221"/>
          <w:sz w:val="20"/>
          <w:szCs w:val="20"/>
        </w:rPr>
        <w:t xml:space="preserve"> basis points to the overall return of Global and </w:t>
      </w:r>
      <w:r w:rsidRPr="003750B8">
        <w:rPr>
          <w:sz w:val="20"/>
          <w:szCs w:val="20"/>
        </w:rPr>
        <w:t>9</w:t>
      </w:r>
      <w:r w:rsidRPr="003750B8">
        <w:rPr>
          <w:color w:val="222221"/>
          <w:sz w:val="20"/>
          <w:szCs w:val="20"/>
        </w:rPr>
        <w:t xml:space="preserve"> basis points to the overall return of International.</w:t>
      </w:r>
    </w:p>
    <w:p w:rsidR="00AF3AA6" w:rsidRPr="003750B8" w:rsidRDefault="00AF3AA6" w:rsidP="00E73669">
      <w:pPr>
        <w:ind w:right="-270"/>
        <w:rPr>
          <w:sz w:val="20"/>
          <w:szCs w:val="20"/>
        </w:rPr>
      </w:pPr>
    </w:p>
    <w:p w:rsidR="007720E4" w:rsidRPr="003750B8" w:rsidRDefault="00FA20A7" w:rsidP="009245F5">
      <w:pPr>
        <w:ind w:right="-270"/>
        <w:rPr>
          <w:i/>
          <w:sz w:val="20"/>
          <w:szCs w:val="20"/>
          <w:u w:val="single"/>
        </w:rPr>
      </w:pPr>
      <w:r w:rsidRPr="003750B8">
        <w:rPr>
          <w:i/>
          <w:sz w:val="20"/>
          <w:szCs w:val="20"/>
          <w:u w:val="single"/>
        </w:rPr>
        <w:t>Inmet Mining Corporation</w:t>
      </w:r>
    </w:p>
    <w:p w:rsidR="0024579A" w:rsidRPr="003750B8" w:rsidRDefault="00D21EB8" w:rsidP="00E73669">
      <w:pPr>
        <w:ind w:right="-270"/>
        <w:rPr>
          <w:sz w:val="20"/>
          <w:szCs w:val="20"/>
        </w:rPr>
      </w:pPr>
      <w:r w:rsidRPr="003750B8">
        <w:rPr>
          <w:sz w:val="20"/>
          <w:szCs w:val="20"/>
        </w:rPr>
        <w:t xml:space="preserve">Inmet Mining is a Toronot-based mining company that produces primarily copper, zinc, gold, silver and pyrites.  Its operating properties are in Turkey, Spain, Finland and Panama.  It has a $4 billion market cap, generates $1 billion of </w:t>
      </w:r>
      <w:r w:rsidRPr="003750B8">
        <w:rPr>
          <w:sz w:val="20"/>
          <w:szCs w:val="20"/>
        </w:rPr>
        <w:lastRenderedPageBreak/>
        <w:t xml:space="preserve">revenue and pays a small dividend.  </w:t>
      </w:r>
      <w:r w:rsidRPr="003750B8">
        <w:rPr>
          <w:color w:val="222221"/>
          <w:sz w:val="20"/>
          <w:szCs w:val="20"/>
        </w:rPr>
        <w:t xml:space="preserve">The stock was down </w:t>
      </w:r>
      <w:r w:rsidRPr="003750B8">
        <w:rPr>
          <w:sz w:val="20"/>
          <w:szCs w:val="20"/>
        </w:rPr>
        <w:t>12</w:t>
      </w:r>
      <w:r w:rsidRPr="003750B8">
        <w:rPr>
          <w:color w:val="222221"/>
          <w:sz w:val="20"/>
          <w:szCs w:val="20"/>
        </w:rPr>
        <w:t xml:space="preserve">% in the fourth quarter and detracted </w:t>
      </w:r>
      <w:r w:rsidRPr="003750B8">
        <w:rPr>
          <w:sz w:val="20"/>
          <w:szCs w:val="20"/>
        </w:rPr>
        <w:t>6</w:t>
      </w:r>
      <w:r w:rsidRPr="003750B8">
        <w:rPr>
          <w:color w:val="222221"/>
          <w:sz w:val="20"/>
          <w:szCs w:val="20"/>
        </w:rPr>
        <w:t xml:space="preserve"> basis points to the overall return of Global and </w:t>
      </w:r>
      <w:r w:rsidRPr="003750B8">
        <w:rPr>
          <w:sz w:val="20"/>
          <w:szCs w:val="20"/>
        </w:rPr>
        <w:t>6</w:t>
      </w:r>
      <w:r w:rsidRPr="003750B8">
        <w:rPr>
          <w:color w:val="222221"/>
          <w:sz w:val="20"/>
          <w:szCs w:val="20"/>
        </w:rPr>
        <w:t xml:space="preserve"> basis points to the overall return of International.</w:t>
      </w:r>
    </w:p>
    <w:p w:rsidR="00C85045" w:rsidRPr="003750B8" w:rsidRDefault="00C85045" w:rsidP="00E73669">
      <w:pPr>
        <w:ind w:right="-270"/>
        <w:rPr>
          <w:sz w:val="20"/>
          <w:szCs w:val="20"/>
        </w:rPr>
      </w:pPr>
    </w:p>
    <w:p w:rsidR="007720E4" w:rsidRPr="003750B8" w:rsidRDefault="00FA20A7" w:rsidP="009245F5">
      <w:pPr>
        <w:ind w:right="-270"/>
        <w:rPr>
          <w:i/>
          <w:sz w:val="20"/>
          <w:szCs w:val="20"/>
          <w:u w:val="single"/>
        </w:rPr>
      </w:pPr>
      <w:r w:rsidRPr="003750B8">
        <w:rPr>
          <w:i/>
          <w:sz w:val="20"/>
          <w:szCs w:val="20"/>
          <w:u w:val="single"/>
        </w:rPr>
        <w:t>Pacific Online</w:t>
      </w:r>
      <w:r w:rsidR="00D21EB8" w:rsidRPr="003750B8">
        <w:rPr>
          <w:i/>
          <w:sz w:val="20"/>
          <w:szCs w:val="20"/>
          <w:u w:val="single"/>
        </w:rPr>
        <w:t xml:space="preserve"> Ltd</w:t>
      </w:r>
    </w:p>
    <w:p w:rsidR="007720E4" w:rsidRPr="003750B8" w:rsidRDefault="00D21EB8" w:rsidP="00E73669">
      <w:pPr>
        <w:ind w:right="-270"/>
        <w:rPr>
          <w:sz w:val="20"/>
          <w:szCs w:val="20"/>
        </w:rPr>
      </w:pPr>
      <w:r w:rsidRPr="003750B8">
        <w:rPr>
          <w:sz w:val="20"/>
          <w:szCs w:val="20"/>
        </w:rPr>
        <w:t>Pacific Online in provides internet advertising services in the People’s Republic of China</w:t>
      </w:r>
      <w:r w:rsidR="00D02CFD" w:rsidRPr="003750B8">
        <w:rPr>
          <w:sz w:val="20"/>
          <w:szCs w:val="20"/>
        </w:rPr>
        <w:t xml:space="preserve">.  The company is headquartered in Guangzhou and is listed on the Hong Kong Stock Exchange.  The company has a </w:t>
      </w:r>
      <w:r w:rsidR="007A0B94" w:rsidRPr="003750B8">
        <w:rPr>
          <w:sz w:val="20"/>
          <w:szCs w:val="20"/>
        </w:rPr>
        <w:t xml:space="preserve">$535 million market-cap, generates $100 million of revenue and pays a 5% dividend.  </w:t>
      </w:r>
      <w:r w:rsidR="007A0B94" w:rsidRPr="003750B8">
        <w:rPr>
          <w:color w:val="222221"/>
          <w:sz w:val="20"/>
          <w:szCs w:val="20"/>
        </w:rPr>
        <w:t xml:space="preserve">The stock was down </w:t>
      </w:r>
      <w:r w:rsidR="007A0B94" w:rsidRPr="003750B8">
        <w:rPr>
          <w:sz w:val="20"/>
          <w:szCs w:val="20"/>
        </w:rPr>
        <w:t>5</w:t>
      </w:r>
      <w:r w:rsidR="007A0B94" w:rsidRPr="003750B8">
        <w:rPr>
          <w:color w:val="222221"/>
          <w:sz w:val="20"/>
          <w:szCs w:val="20"/>
        </w:rPr>
        <w:t xml:space="preserve">% in the fourth quarter and detracted </w:t>
      </w:r>
      <w:r w:rsidR="007A0B94" w:rsidRPr="003750B8">
        <w:rPr>
          <w:sz w:val="20"/>
          <w:szCs w:val="20"/>
        </w:rPr>
        <w:t>5</w:t>
      </w:r>
      <w:r w:rsidR="007A0B94" w:rsidRPr="003750B8">
        <w:rPr>
          <w:color w:val="222221"/>
          <w:sz w:val="20"/>
          <w:szCs w:val="20"/>
        </w:rPr>
        <w:t xml:space="preserve"> basis points to the overall return of Global and </w:t>
      </w:r>
      <w:r w:rsidR="007A0B94" w:rsidRPr="003750B8">
        <w:rPr>
          <w:sz w:val="20"/>
          <w:szCs w:val="20"/>
        </w:rPr>
        <w:t>6</w:t>
      </w:r>
      <w:r w:rsidR="007A0B94" w:rsidRPr="003750B8">
        <w:rPr>
          <w:color w:val="222221"/>
          <w:sz w:val="20"/>
          <w:szCs w:val="20"/>
        </w:rPr>
        <w:t xml:space="preserve"> basis points to the overall return of International.</w:t>
      </w:r>
    </w:p>
    <w:p w:rsidR="00D21EB8" w:rsidRPr="003750B8" w:rsidRDefault="00D21EB8" w:rsidP="00E73669">
      <w:pPr>
        <w:ind w:right="-270"/>
        <w:rPr>
          <w:sz w:val="20"/>
          <w:szCs w:val="20"/>
        </w:rPr>
      </w:pPr>
    </w:p>
    <w:p w:rsidR="007720E4" w:rsidRPr="003750B8" w:rsidRDefault="007720E4" w:rsidP="009245F5">
      <w:pPr>
        <w:ind w:right="-270"/>
        <w:rPr>
          <w:i/>
          <w:sz w:val="20"/>
          <w:szCs w:val="20"/>
          <w:u w:val="single"/>
        </w:rPr>
      </w:pPr>
      <w:r w:rsidRPr="003750B8">
        <w:rPr>
          <w:i/>
          <w:sz w:val="20"/>
          <w:szCs w:val="20"/>
          <w:u w:val="single"/>
        </w:rPr>
        <w:t>Other notable detractors for the quarter:</w:t>
      </w:r>
    </w:p>
    <w:p w:rsidR="001B17C0" w:rsidRPr="003750B8" w:rsidRDefault="001B17C0" w:rsidP="00974666">
      <w:pPr>
        <w:pStyle w:val="ListParagraph"/>
        <w:numPr>
          <w:ilvl w:val="0"/>
          <w:numId w:val="2"/>
        </w:numPr>
        <w:ind w:left="540" w:right="-270"/>
        <w:rPr>
          <w:sz w:val="20"/>
          <w:szCs w:val="20"/>
        </w:rPr>
      </w:pPr>
      <w:r w:rsidRPr="003750B8">
        <w:rPr>
          <w:sz w:val="20"/>
          <w:szCs w:val="20"/>
        </w:rPr>
        <w:t>Immunodiagnostic Systems Holdings (medical diagnostics) – down 32% in 1Q12</w:t>
      </w:r>
      <w:r w:rsidRPr="003750B8">
        <w:rPr>
          <w:rStyle w:val="FootnoteReference"/>
          <w:color w:val="FFFFFF" w:themeColor="background1"/>
          <w:sz w:val="20"/>
          <w:szCs w:val="20"/>
        </w:rPr>
        <w:footnoteReference w:id="7"/>
      </w:r>
    </w:p>
    <w:p w:rsidR="001B17C0" w:rsidRPr="003750B8" w:rsidRDefault="001B17C0" w:rsidP="001B17C0">
      <w:pPr>
        <w:pStyle w:val="ListParagraph"/>
        <w:numPr>
          <w:ilvl w:val="0"/>
          <w:numId w:val="2"/>
        </w:numPr>
        <w:ind w:left="540" w:right="-270"/>
        <w:rPr>
          <w:sz w:val="20"/>
          <w:szCs w:val="20"/>
        </w:rPr>
      </w:pPr>
      <w:r w:rsidRPr="003750B8">
        <w:rPr>
          <w:sz w:val="20"/>
          <w:szCs w:val="20"/>
        </w:rPr>
        <w:t>Koh Young Technology Inc (</w:t>
      </w:r>
      <w:r w:rsidR="00C22BAD" w:rsidRPr="003750B8">
        <w:rPr>
          <w:sz w:val="20"/>
          <w:szCs w:val="20"/>
        </w:rPr>
        <w:t>industrial equipment</w:t>
      </w:r>
      <w:r w:rsidRPr="003750B8">
        <w:rPr>
          <w:sz w:val="20"/>
          <w:szCs w:val="20"/>
        </w:rPr>
        <w:t>) – down 11% in 1Q12</w:t>
      </w:r>
    </w:p>
    <w:p w:rsidR="007720E4" w:rsidRPr="003750B8" w:rsidRDefault="00762BDE" w:rsidP="00974666">
      <w:pPr>
        <w:pStyle w:val="ListParagraph"/>
        <w:numPr>
          <w:ilvl w:val="0"/>
          <w:numId w:val="2"/>
        </w:numPr>
        <w:ind w:left="540" w:right="-270"/>
        <w:rPr>
          <w:sz w:val="20"/>
          <w:szCs w:val="20"/>
        </w:rPr>
      </w:pPr>
      <w:r w:rsidRPr="003750B8">
        <w:rPr>
          <w:sz w:val="20"/>
          <w:szCs w:val="20"/>
        </w:rPr>
        <w:t>Cyberagent Inc</w:t>
      </w:r>
      <w:r w:rsidR="007720E4" w:rsidRPr="003750B8">
        <w:rPr>
          <w:sz w:val="20"/>
          <w:szCs w:val="20"/>
        </w:rPr>
        <w:t xml:space="preserve"> (</w:t>
      </w:r>
      <w:r w:rsidR="006078BE" w:rsidRPr="003750B8">
        <w:rPr>
          <w:sz w:val="20"/>
          <w:szCs w:val="20"/>
        </w:rPr>
        <w:t>internet advertising</w:t>
      </w:r>
      <w:r w:rsidRPr="003750B8">
        <w:rPr>
          <w:sz w:val="20"/>
          <w:szCs w:val="20"/>
        </w:rPr>
        <w:t>) – down 10</w:t>
      </w:r>
      <w:r w:rsidR="007720E4" w:rsidRPr="003750B8">
        <w:rPr>
          <w:sz w:val="20"/>
          <w:szCs w:val="20"/>
        </w:rPr>
        <w:t xml:space="preserve">% in </w:t>
      </w:r>
      <w:r w:rsidRPr="003750B8">
        <w:rPr>
          <w:sz w:val="20"/>
          <w:szCs w:val="20"/>
        </w:rPr>
        <w:t>1Q12</w:t>
      </w:r>
    </w:p>
    <w:p w:rsidR="007720E4" w:rsidRPr="003750B8" w:rsidRDefault="00762BDE" w:rsidP="00974666">
      <w:pPr>
        <w:pStyle w:val="ListParagraph"/>
        <w:numPr>
          <w:ilvl w:val="0"/>
          <w:numId w:val="2"/>
        </w:numPr>
        <w:tabs>
          <w:tab w:val="left" w:pos="7560"/>
        </w:tabs>
        <w:ind w:left="540" w:right="-270"/>
        <w:rPr>
          <w:sz w:val="20"/>
          <w:szCs w:val="20"/>
        </w:rPr>
      </w:pPr>
      <w:r w:rsidRPr="003750B8">
        <w:rPr>
          <w:sz w:val="20"/>
          <w:szCs w:val="20"/>
        </w:rPr>
        <w:t>Sino Biopharmaceutical</w:t>
      </w:r>
      <w:r w:rsidR="00E73669" w:rsidRPr="003750B8">
        <w:rPr>
          <w:sz w:val="20"/>
          <w:szCs w:val="20"/>
        </w:rPr>
        <w:t xml:space="preserve"> Ltd</w:t>
      </w:r>
      <w:r w:rsidRPr="003750B8">
        <w:rPr>
          <w:sz w:val="20"/>
          <w:szCs w:val="20"/>
        </w:rPr>
        <w:t xml:space="preserve"> </w:t>
      </w:r>
      <w:r w:rsidR="007720E4" w:rsidRPr="003750B8">
        <w:rPr>
          <w:sz w:val="20"/>
          <w:szCs w:val="20"/>
        </w:rPr>
        <w:t>(</w:t>
      </w:r>
      <w:r w:rsidR="00E73669" w:rsidRPr="003750B8">
        <w:rPr>
          <w:sz w:val="20"/>
          <w:szCs w:val="20"/>
        </w:rPr>
        <w:t>pharmaceuticals</w:t>
      </w:r>
      <w:r w:rsidRPr="003750B8">
        <w:rPr>
          <w:sz w:val="20"/>
          <w:szCs w:val="20"/>
        </w:rPr>
        <w:t>) – down 10</w:t>
      </w:r>
      <w:r w:rsidR="007720E4" w:rsidRPr="003750B8">
        <w:rPr>
          <w:sz w:val="20"/>
          <w:szCs w:val="20"/>
        </w:rPr>
        <w:t xml:space="preserve">% in </w:t>
      </w:r>
      <w:r w:rsidRPr="003750B8">
        <w:rPr>
          <w:sz w:val="20"/>
          <w:szCs w:val="20"/>
        </w:rPr>
        <w:t>1Q12</w:t>
      </w:r>
    </w:p>
    <w:p w:rsidR="007720E4" w:rsidRPr="003750B8" w:rsidRDefault="001B17C0" w:rsidP="001B17C0">
      <w:pPr>
        <w:pStyle w:val="ListParagraph"/>
        <w:numPr>
          <w:ilvl w:val="0"/>
          <w:numId w:val="2"/>
        </w:numPr>
        <w:ind w:left="540" w:right="-270"/>
        <w:rPr>
          <w:sz w:val="20"/>
          <w:szCs w:val="20"/>
        </w:rPr>
      </w:pPr>
      <w:r w:rsidRPr="003750B8">
        <w:rPr>
          <w:sz w:val="20"/>
          <w:szCs w:val="20"/>
        </w:rPr>
        <w:t>China Automation Group (industrial equipment) – down 8% in 1Q12</w:t>
      </w:r>
    </w:p>
    <w:p w:rsidR="007720E4" w:rsidRPr="003750B8" w:rsidRDefault="007720E4" w:rsidP="00F3747D">
      <w:pPr>
        <w:ind w:right="-270"/>
        <w:rPr>
          <w:b/>
          <w:bCs/>
          <w:i/>
          <w:sz w:val="20"/>
          <w:szCs w:val="20"/>
        </w:rPr>
      </w:pPr>
    </w:p>
    <w:p w:rsidR="00F3747D" w:rsidRPr="003750B8" w:rsidRDefault="00F3747D" w:rsidP="00F3747D">
      <w:pPr>
        <w:ind w:right="-270"/>
        <w:rPr>
          <w:sz w:val="20"/>
          <w:szCs w:val="20"/>
        </w:rPr>
      </w:pPr>
      <w:r w:rsidRPr="003750B8">
        <w:rPr>
          <w:b/>
          <w:bCs/>
          <w:i/>
          <w:sz w:val="20"/>
          <w:szCs w:val="20"/>
        </w:rPr>
        <w:t>Looking Forward</w:t>
      </w:r>
    </w:p>
    <w:p w:rsidR="00CF430B" w:rsidRPr="003750B8" w:rsidRDefault="00CF430B" w:rsidP="00CF430B">
      <w:pPr>
        <w:ind w:right="-270"/>
        <w:rPr>
          <w:sz w:val="20"/>
          <w:szCs w:val="20"/>
        </w:rPr>
      </w:pPr>
      <w:r w:rsidRPr="003750B8">
        <w:rPr>
          <w:sz w:val="20"/>
          <w:szCs w:val="20"/>
        </w:rPr>
        <w:t xml:space="preserve">In terms of the macro outlook, we don’t really try to predict what the markets will do.  Sometimes we </w:t>
      </w:r>
      <w:r w:rsidR="00B66225" w:rsidRPr="003750B8">
        <w:rPr>
          <w:sz w:val="20"/>
          <w:szCs w:val="20"/>
        </w:rPr>
        <w:t>get the feeling from our bottom-</w:t>
      </w:r>
      <w:r w:rsidRPr="003750B8">
        <w:rPr>
          <w:sz w:val="20"/>
          <w:szCs w:val="20"/>
        </w:rPr>
        <w:t>up research that markets are poised to move u</w:t>
      </w:r>
      <w:r w:rsidR="00B66225" w:rsidRPr="003750B8">
        <w:rPr>
          <w:sz w:val="20"/>
          <w:szCs w:val="20"/>
        </w:rPr>
        <w:t>p and sometimes the</w:t>
      </w:r>
      <w:r w:rsidRPr="003750B8">
        <w:rPr>
          <w:sz w:val="20"/>
          <w:szCs w:val="20"/>
        </w:rPr>
        <w:t xml:space="preserve"> environment feels soft a</w:t>
      </w:r>
      <w:r w:rsidR="00B66225" w:rsidRPr="003750B8">
        <w:rPr>
          <w:sz w:val="20"/>
          <w:szCs w:val="20"/>
        </w:rPr>
        <w:t xml:space="preserve">nd our conviction </w:t>
      </w:r>
      <w:r w:rsidR="00AF3AA6" w:rsidRPr="003750B8">
        <w:rPr>
          <w:sz w:val="20"/>
          <w:szCs w:val="20"/>
        </w:rPr>
        <w:t>gets</w:t>
      </w:r>
      <w:r w:rsidR="00B66225" w:rsidRPr="003750B8">
        <w:rPr>
          <w:sz w:val="20"/>
          <w:szCs w:val="20"/>
        </w:rPr>
        <w:t xml:space="preserve"> weak</w:t>
      </w:r>
      <w:r w:rsidRPr="003750B8">
        <w:rPr>
          <w:sz w:val="20"/>
          <w:szCs w:val="20"/>
        </w:rPr>
        <w:t xml:space="preserve">.  Today, we are somewhere in the middle. </w:t>
      </w:r>
      <w:r w:rsidR="006E42C4" w:rsidRPr="003750B8">
        <w:rPr>
          <w:sz w:val="20"/>
          <w:szCs w:val="20"/>
        </w:rPr>
        <w:t xml:space="preserve"> For </w:t>
      </w:r>
      <w:r w:rsidRPr="003750B8">
        <w:rPr>
          <w:sz w:val="20"/>
          <w:szCs w:val="20"/>
        </w:rPr>
        <w:t xml:space="preserve">most of our companies, business is good, but </w:t>
      </w:r>
      <w:r w:rsidR="006E42C4" w:rsidRPr="003750B8">
        <w:rPr>
          <w:sz w:val="20"/>
          <w:szCs w:val="20"/>
        </w:rPr>
        <w:t xml:space="preserve">not booming.  The macro environment is still pretty tough out there </w:t>
      </w:r>
      <w:r w:rsidRPr="003750B8">
        <w:rPr>
          <w:sz w:val="20"/>
          <w:szCs w:val="20"/>
        </w:rPr>
        <w:t>a</w:t>
      </w:r>
      <w:r w:rsidR="006E42C4" w:rsidRPr="003750B8">
        <w:rPr>
          <w:sz w:val="20"/>
          <w:szCs w:val="20"/>
        </w:rPr>
        <w:t xml:space="preserve">nd the outlook is still </w:t>
      </w:r>
      <w:r w:rsidRPr="003750B8">
        <w:rPr>
          <w:sz w:val="20"/>
          <w:szCs w:val="20"/>
        </w:rPr>
        <w:t xml:space="preserve">very uncertain.  We’re not </w:t>
      </w:r>
      <w:r w:rsidR="00B66225" w:rsidRPr="003750B8">
        <w:rPr>
          <w:sz w:val="20"/>
          <w:szCs w:val="20"/>
        </w:rPr>
        <w:t xml:space="preserve">at </w:t>
      </w:r>
      <w:r w:rsidRPr="003750B8">
        <w:rPr>
          <w:sz w:val="20"/>
          <w:szCs w:val="20"/>
        </w:rPr>
        <w:t xml:space="preserve">all surprised to see a </w:t>
      </w:r>
      <w:r w:rsidR="006E42C4" w:rsidRPr="003750B8">
        <w:rPr>
          <w:sz w:val="20"/>
          <w:szCs w:val="20"/>
        </w:rPr>
        <w:t>market</w:t>
      </w:r>
      <w:r w:rsidRPr="003750B8">
        <w:rPr>
          <w:sz w:val="20"/>
          <w:szCs w:val="20"/>
        </w:rPr>
        <w:t xml:space="preserve"> correction here </w:t>
      </w:r>
      <w:r w:rsidR="00B66225" w:rsidRPr="003750B8">
        <w:rPr>
          <w:sz w:val="20"/>
          <w:szCs w:val="20"/>
        </w:rPr>
        <w:t>at</w:t>
      </w:r>
      <w:r w:rsidRPr="003750B8">
        <w:rPr>
          <w:sz w:val="20"/>
          <w:szCs w:val="20"/>
        </w:rPr>
        <w:t xml:space="preserve"> the start of Q2.  </w:t>
      </w:r>
      <w:r w:rsidR="00AF3AA6" w:rsidRPr="003750B8">
        <w:rPr>
          <w:sz w:val="20"/>
          <w:szCs w:val="20"/>
        </w:rPr>
        <w:t>So</w:t>
      </w:r>
      <w:r w:rsidR="006E42C4" w:rsidRPr="003750B8">
        <w:rPr>
          <w:sz w:val="20"/>
          <w:szCs w:val="20"/>
        </w:rPr>
        <w:t xml:space="preserve"> w</w:t>
      </w:r>
      <w:r w:rsidRPr="003750B8">
        <w:rPr>
          <w:sz w:val="20"/>
          <w:szCs w:val="20"/>
        </w:rPr>
        <w:t>e continue to be prudent</w:t>
      </w:r>
      <w:r w:rsidR="00AF3AA6" w:rsidRPr="003750B8">
        <w:rPr>
          <w:sz w:val="20"/>
          <w:szCs w:val="20"/>
        </w:rPr>
        <w:t>;</w:t>
      </w:r>
      <w:r w:rsidRPr="003750B8">
        <w:rPr>
          <w:sz w:val="20"/>
          <w:szCs w:val="20"/>
        </w:rPr>
        <w:t xml:space="preserve"> </w:t>
      </w:r>
      <w:r w:rsidR="00AF3AA6" w:rsidRPr="003750B8">
        <w:rPr>
          <w:sz w:val="20"/>
          <w:szCs w:val="20"/>
        </w:rPr>
        <w:t xml:space="preserve">we’re focused on quality, </w:t>
      </w:r>
      <w:r w:rsidRPr="003750B8">
        <w:rPr>
          <w:sz w:val="20"/>
          <w:szCs w:val="20"/>
        </w:rPr>
        <w:t>keep</w:t>
      </w:r>
      <w:r w:rsidR="00AF3AA6" w:rsidRPr="003750B8">
        <w:rPr>
          <w:sz w:val="20"/>
          <w:szCs w:val="20"/>
        </w:rPr>
        <w:t>ing</w:t>
      </w:r>
      <w:r w:rsidRPr="003750B8">
        <w:rPr>
          <w:sz w:val="20"/>
          <w:szCs w:val="20"/>
        </w:rPr>
        <w:t xml:space="preserve"> the valuations we pay for companies in </w:t>
      </w:r>
      <w:r w:rsidR="006E42C4" w:rsidRPr="003750B8">
        <w:rPr>
          <w:sz w:val="20"/>
          <w:szCs w:val="20"/>
        </w:rPr>
        <w:t xml:space="preserve">a </w:t>
      </w:r>
      <w:r w:rsidR="00AF3AA6" w:rsidRPr="003750B8">
        <w:rPr>
          <w:sz w:val="20"/>
          <w:szCs w:val="20"/>
        </w:rPr>
        <w:t>reasonable range, and managing</w:t>
      </w:r>
      <w:r w:rsidRPr="003750B8">
        <w:rPr>
          <w:sz w:val="20"/>
          <w:szCs w:val="20"/>
        </w:rPr>
        <w:t xml:space="preserve"> risk </w:t>
      </w:r>
      <w:r w:rsidR="006E42C4" w:rsidRPr="003750B8">
        <w:rPr>
          <w:sz w:val="20"/>
          <w:szCs w:val="20"/>
        </w:rPr>
        <w:t xml:space="preserve">very </w:t>
      </w:r>
      <w:r w:rsidRPr="003750B8">
        <w:rPr>
          <w:sz w:val="20"/>
          <w:szCs w:val="20"/>
        </w:rPr>
        <w:t>car</w:t>
      </w:r>
      <w:r w:rsidR="00B66225" w:rsidRPr="003750B8">
        <w:rPr>
          <w:sz w:val="20"/>
          <w:szCs w:val="20"/>
        </w:rPr>
        <w:t>efully</w:t>
      </w:r>
      <w:r w:rsidR="006E42C4" w:rsidRPr="003750B8">
        <w:rPr>
          <w:sz w:val="20"/>
          <w:szCs w:val="20"/>
        </w:rPr>
        <w:t>—which means we are staying very diversified and keeping position sizes relatively low</w:t>
      </w:r>
      <w:r w:rsidR="00B66225" w:rsidRPr="003750B8">
        <w:rPr>
          <w:sz w:val="20"/>
          <w:szCs w:val="20"/>
        </w:rPr>
        <w:t xml:space="preserve">.  </w:t>
      </w:r>
      <w:r w:rsidRPr="003750B8">
        <w:rPr>
          <w:sz w:val="20"/>
          <w:szCs w:val="20"/>
        </w:rPr>
        <w:t>We are hunkered down searching the globe for high quality</w:t>
      </w:r>
      <w:r w:rsidR="00B66225" w:rsidRPr="003750B8">
        <w:rPr>
          <w:sz w:val="20"/>
          <w:szCs w:val="20"/>
        </w:rPr>
        <w:t>,</w:t>
      </w:r>
      <w:r w:rsidRPr="003750B8">
        <w:rPr>
          <w:sz w:val="20"/>
          <w:szCs w:val="20"/>
        </w:rPr>
        <w:t xml:space="preserve"> undiscovered companies that </w:t>
      </w:r>
      <w:r w:rsidR="006E42C4" w:rsidRPr="003750B8">
        <w:rPr>
          <w:sz w:val="20"/>
          <w:szCs w:val="20"/>
        </w:rPr>
        <w:t xml:space="preserve">we think </w:t>
      </w:r>
      <w:r w:rsidRPr="003750B8">
        <w:rPr>
          <w:sz w:val="20"/>
          <w:szCs w:val="20"/>
        </w:rPr>
        <w:t>can power</w:t>
      </w:r>
      <w:r w:rsidR="00B66225" w:rsidRPr="003750B8">
        <w:rPr>
          <w:sz w:val="20"/>
          <w:szCs w:val="20"/>
        </w:rPr>
        <w:t xml:space="preserve"> through the tough environment.</w:t>
      </w:r>
    </w:p>
    <w:p w:rsidR="00B66225" w:rsidRPr="003750B8" w:rsidRDefault="00B66225" w:rsidP="00CF430B">
      <w:pPr>
        <w:ind w:right="-270"/>
        <w:rPr>
          <w:sz w:val="20"/>
          <w:szCs w:val="20"/>
        </w:rPr>
      </w:pPr>
    </w:p>
    <w:p w:rsidR="00CF430B" w:rsidRPr="003750B8" w:rsidRDefault="006E42C4" w:rsidP="00CF430B">
      <w:pPr>
        <w:ind w:right="-270"/>
        <w:rPr>
          <w:sz w:val="20"/>
          <w:szCs w:val="20"/>
        </w:rPr>
      </w:pPr>
      <w:r w:rsidRPr="003750B8">
        <w:rPr>
          <w:sz w:val="20"/>
          <w:szCs w:val="20"/>
        </w:rPr>
        <w:t>As we mentioned earlier however, t</w:t>
      </w:r>
      <w:r w:rsidR="00CF430B" w:rsidRPr="003750B8">
        <w:rPr>
          <w:sz w:val="20"/>
          <w:szCs w:val="20"/>
        </w:rPr>
        <w:t>ough times</w:t>
      </w:r>
      <w:r w:rsidRPr="003750B8">
        <w:rPr>
          <w:sz w:val="20"/>
          <w:szCs w:val="20"/>
        </w:rPr>
        <w:t xml:space="preserve"> </w:t>
      </w:r>
      <w:r w:rsidR="00CF430B" w:rsidRPr="003750B8">
        <w:rPr>
          <w:sz w:val="20"/>
          <w:szCs w:val="20"/>
        </w:rPr>
        <w:t xml:space="preserve">are </w:t>
      </w:r>
      <w:r w:rsidR="00B66225" w:rsidRPr="003750B8">
        <w:rPr>
          <w:sz w:val="20"/>
          <w:szCs w:val="20"/>
        </w:rPr>
        <w:t>not always bad for investing; during tough times, g</w:t>
      </w:r>
      <w:r w:rsidR="00CF430B" w:rsidRPr="003750B8">
        <w:rPr>
          <w:sz w:val="20"/>
          <w:szCs w:val="20"/>
        </w:rPr>
        <w:t>reat companies</w:t>
      </w:r>
      <w:r w:rsidR="00B66225" w:rsidRPr="003750B8">
        <w:rPr>
          <w:sz w:val="20"/>
          <w:szCs w:val="20"/>
        </w:rPr>
        <w:t xml:space="preserve"> get stronger</w:t>
      </w:r>
      <w:r w:rsidR="00CF430B" w:rsidRPr="003750B8">
        <w:rPr>
          <w:sz w:val="20"/>
          <w:szCs w:val="20"/>
        </w:rPr>
        <w:t>.</w:t>
      </w:r>
      <w:r w:rsidR="00B66225" w:rsidRPr="003750B8">
        <w:rPr>
          <w:sz w:val="20"/>
          <w:szCs w:val="20"/>
        </w:rPr>
        <w:t xml:space="preserve">  </w:t>
      </w:r>
      <w:r w:rsidRPr="003750B8">
        <w:rPr>
          <w:sz w:val="20"/>
          <w:szCs w:val="20"/>
        </w:rPr>
        <w:t xml:space="preserve">We’ve seen it before, it’s an age-old story: tough times ultimately weed out the weaker companies, and when the economy strengthens, the survivors are able to do especially well.  </w:t>
      </w:r>
      <w:r w:rsidR="00B66225" w:rsidRPr="003750B8">
        <w:rPr>
          <w:sz w:val="20"/>
          <w:szCs w:val="20"/>
        </w:rPr>
        <w:t>We think</w:t>
      </w:r>
      <w:r w:rsidR="00CF430B" w:rsidRPr="003750B8">
        <w:rPr>
          <w:sz w:val="20"/>
          <w:szCs w:val="20"/>
        </w:rPr>
        <w:t xml:space="preserve"> our companies are str</w:t>
      </w:r>
      <w:r w:rsidR="00B66225" w:rsidRPr="003750B8">
        <w:rPr>
          <w:sz w:val="20"/>
          <w:szCs w:val="20"/>
        </w:rPr>
        <w:t>ong both competitively</w:t>
      </w:r>
      <w:r w:rsidR="00CF430B" w:rsidRPr="003750B8">
        <w:rPr>
          <w:sz w:val="20"/>
          <w:szCs w:val="20"/>
        </w:rPr>
        <w:t xml:space="preserve"> and </w:t>
      </w:r>
      <w:r w:rsidR="00B66225" w:rsidRPr="003750B8">
        <w:rPr>
          <w:sz w:val="20"/>
          <w:szCs w:val="20"/>
        </w:rPr>
        <w:t xml:space="preserve">financially, with market positions and balance sheets that </w:t>
      </w:r>
      <w:r w:rsidR="00CF430B" w:rsidRPr="003750B8">
        <w:rPr>
          <w:sz w:val="20"/>
          <w:szCs w:val="20"/>
        </w:rPr>
        <w:t xml:space="preserve">can continue to weather the storms. </w:t>
      </w:r>
    </w:p>
    <w:p w:rsidR="00B66225" w:rsidRPr="003750B8" w:rsidRDefault="00B66225" w:rsidP="00CF430B">
      <w:pPr>
        <w:ind w:right="-270"/>
        <w:rPr>
          <w:sz w:val="20"/>
          <w:szCs w:val="20"/>
        </w:rPr>
      </w:pPr>
    </w:p>
    <w:p w:rsidR="00CF430B" w:rsidRPr="003750B8" w:rsidRDefault="00AF3AA6" w:rsidP="00CF430B">
      <w:pPr>
        <w:ind w:right="-270"/>
        <w:rPr>
          <w:sz w:val="20"/>
          <w:szCs w:val="20"/>
        </w:rPr>
      </w:pPr>
      <w:r w:rsidRPr="003750B8">
        <w:rPr>
          <w:sz w:val="20"/>
          <w:szCs w:val="20"/>
        </w:rPr>
        <w:t>Whatever 2012 brings in</w:t>
      </w:r>
      <w:r w:rsidR="00CF430B" w:rsidRPr="003750B8">
        <w:rPr>
          <w:sz w:val="20"/>
          <w:szCs w:val="20"/>
        </w:rPr>
        <w:t xml:space="preserve"> the overall market, what you can count on </w:t>
      </w:r>
      <w:r w:rsidR="006E42C4" w:rsidRPr="003750B8">
        <w:rPr>
          <w:sz w:val="20"/>
          <w:szCs w:val="20"/>
        </w:rPr>
        <w:t>us for</w:t>
      </w:r>
      <w:r w:rsidR="00CF430B" w:rsidRPr="003750B8">
        <w:rPr>
          <w:sz w:val="20"/>
          <w:szCs w:val="20"/>
        </w:rPr>
        <w:t xml:space="preserve"> is to work diligently</w:t>
      </w:r>
      <w:r w:rsidR="006E42C4" w:rsidRPr="003750B8">
        <w:rPr>
          <w:sz w:val="20"/>
          <w:szCs w:val="20"/>
        </w:rPr>
        <w:t>,</w:t>
      </w:r>
      <w:r w:rsidR="00CF430B" w:rsidRPr="003750B8">
        <w:rPr>
          <w:sz w:val="20"/>
          <w:szCs w:val="20"/>
        </w:rPr>
        <w:t xml:space="preserve"> and acc</w:t>
      </w:r>
      <w:r w:rsidR="00B66225" w:rsidRPr="003750B8">
        <w:rPr>
          <w:sz w:val="20"/>
          <w:szCs w:val="20"/>
        </w:rPr>
        <w:t>ording to a t</w:t>
      </w:r>
      <w:r w:rsidR="006E42C4" w:rsidRPr="003750B8">
        <w:rPr>
          <w:sz w:val="20"/>
          <w:szCs w:val="20"/>
        </w:rPr>
        <w:t>ime-tested process that we hope</w:t>
      </w:r>
      <w:r w:rsidR="00CF430B" w:rsidRPr="003750B8">
        <w:rPr>
          <w:sz w:val="20"/>
          <w:szCs w:val="20"/>
        </w:rPr>
        <w:t xml:space="preserve"> will</w:t>
      </w:r>
      <w:r w:rsidR="00B66225" w:rsidRPr="003750B8">
        <w:rPr>
          <w:sz w:val="20"/>
          <w:szCs w:val="20"/>
        </w:rPr>
        <w:t xml:space="preserve"> ultimately</w:t>
      </w:r>
      <w:r w:rsidR="00CF430B" w:rsidRPr="003750B8">
        <w:rPr>
          <w:sz w:val="20"/>
          <w:szCs w:val="20"/>
        </w:rPr>
        <w:t xml:space="preserve"> position our clients for strong performance over </w:t>
      </w:r>
      <w:r w:rsidR="006E42C4" w:rsidRPr="003750B8">
        <w:rPr>
          <w:sz w:val="20"/>
          <w:szCs w:val="20"/>
        </w:rPr>
        <w:t xml:space="preserve">the </w:t>
      </w:r>
      <w:r w:rsidR="00CF430B" w:rsidRPr="003750B8">
        <w:rPr>
          <w:sz w:val="20"/>
          <w:szCs w:val="20"/>
        </w:rPr>
        <w:t>long run.</w:t>
      </w:r>
    </w:p>
    <w:p w:rsidR="00B66225" w:rsidRPr="003750B8" w:rsidRDefault="00B66225" w:rsidP="00CF430B">
      <w:pPr>
        <w:ind w:right="-270"/>
        <w:rPr>
          <w:sz w:val="20"/>
          <w:szCs w:val="20"/>
        </w:rPr>
      </w:pPr>
    </w:p>
    <w:p w:rsidR="00B66225" w:rsidRPr="003750B8" w:rsidRDefault="00B66225" w:rsidP="00CF430B">
      <w:pPr>
        <w:ind w:right="-270"/>
        <w:rPr>
          <w:sz w:val="20"/>
          <w:szCs w:val="20"/>
        </w:rPr>
      </w:pPr>
      <w:r w:rsidRPr="003750B8">
        <w:rPr>
          <w:b/>
          <w:bCs/>
          <w:i/>
          <w:sz w:val="20"/>
          <w:szCs w:val="20"/>
        </w:rPr>
        <w:t>Business Update</w:t>
      </w:r>
    </w:p>
    <w:p w:rsidR="006E42C4" w:rsidRPr="003750B8" w:rsidRDefault="00AC39A5" w:rsidP="00AC39A5">
      <w:pPr>
        <w:ind w:right="-270"/>
        <w:rPr>
          <w:sz w:val="20"/>
          <w:szCs w:val="20"/>
        </w:rPr>
      </w:pPr>
      <w:r w:rsidRPr="003750B8">
        <w:rPr>
          <w:sz w:val="20"/>
          <w:szCs w:val="20"/>
        </w:rPr>
        <w:t xml:space="preserve">So our screening and </w:t>
      </w:r>
      <w:r w:rsidR="006E42C4" w:rsidRPr="003750B8">
        <w:rPr>
          <w:sz w:val="20"/>
          <w:szCs w:val="20"/>
        </w:rPr>
        <w:t>search</w:t>
      </w:r>
      <w:r w:rsidRPr="003750B8">
        <w:rPr>
          <w:sz w:val="20"/>
          <w:szCs w:val="20"/>
        </w:rPr>
        <w:t xml:space="preserve"> engine is firing on all </w:t>
      </w:r>
      <w:r w:rsidR="006E42C4" w:rsidRPr="003750B8">
        <w:rPr>
          <w:sz w:val="20"/>
          <w:szCs w:val="20"/>
        </w:rPr>
        <w:t>cylinders;</w:t>
      </w:r>
      <w:r w:rsidRPr="003750B8">
        <w:rPr>
          <w:sz w:val="20"/>
          <w:szCs w:val="20"/>
        </w:rPr>
        <w:t xml:space="preserve"> the team is travelling a </w:t>
      </w:r>
      <w:r w:rsidR="000335A4" w:rsidRPr="003750B8">
        <w:rPr>
          <w:sz w:val="20"/>
          <w:szCs w:val="20"/>
        </w:rPr>
        <w:t xml:space="preserve">ton; </w:t>
      </w:r>
      <w:r w:rsidR="006E42C4" w:rsidRPr="003750B8">
        <w:rPr>
          <w:sz w:val="20"/>
          <w:szCs w:val="20"/>
        </w:rPr>
        <w:t xml:space="preserve">and </w:t>
      </w:r>
      <w:r w:rsidR="000335A4" w:rsidRPr="003750B8">
        <w:rPr>
          <w:sz w:val="20"/>
          <w:szCs w:val="20"/>
        </w:rPr>
        <w:t xml:space="preserve">we’re finding great companies.  </w:t>
      </w:r>
      <w:r w:rsidRPr="003750B8">
        <w:rPr>
          <w:sz w:val="20"/>
          <w:szCs w:val="20"/>
        </w:rPr>
        <w:t xml:space="preserve">Frankly, though, </w:t>
      </w:r>
      <w:r w:rsidR="000335A4" w:rsidRPr="003750B8">
        <w:rPr>
          <w:sz w:val="20"/>
          <w:szCs w:val="20"/>
        </w:rPr>
        <w:t>after being in overdrive</w:t>
      </w:r>
      <w:r w:rsidR="00594582" w:rsidRPr="003750B8">
        <w:rPr>
          <w:sz w:val="20"/>
          <w:szCs w:val="20"/>
        </w:rPr>
        <w:t xml:space="preserve"> mode these past</w:t>
      </w:r>
      <w:r w:rsidR="000335A4" w:rsidRPr="003750B8">
        <w:rPr>
          <w:sz w:val="20"/>
          <w:szCs w:val="20"/>
        </w:rPr>
        <w:t xml:space="preserve"> six months of </w:t>
      </w:r>
      <w:r w:rsidR="00594582" w:rsidRPr="003750B8">
        <w:rPr>
          <w:sz w:val="20"/>
          <w:szCs w:val="20"/>
        </w:rPr>
        <w:t>launching the firm</w:t>
      </w:r>
      <w:r w:rsidR="000335A4" w:rsidRPr="003750B8">
        <w:rPr>
          <w:sz w:val="20"/>
          <w:szCs w:val="20"/>
        </w:rPr>
        <w:t xml:space="preserve">, we now need to </w:t>
      </w:r>
      <w:r w:rsidRPr="003750B8">
        <w:rPr>
          <w:sz w:val="20"/>
          <w:szCs w:val="20"/>
        </w:rPr>
        <w:t xml:space="preserve">slow it down a bit, </w:t>
      </w:r>
      <w:r w:rsidR="000335A4" w:rsidRPr="003750B8">
        <w:rPr>
          <w:sz w:val="20"/>
          <w:szCs w:val="20"/>
        </w:rPr>
        <w:t xml:space="preserve">and while </w:t>
      </w:r>
      <w:r w:rsidRPr="003750B8">
        <w:rPr>
          <w:sz w:val="20"/>
          <w:szCs w:val="20"/>
        </w:rPr>
        <w:t>still maintaining a high le</w:t>
      </w:r>
      <w:r w:rsidR="000335A4" w:rsidRPr="003750B8">
        <w:rPr>
          <w:sz w:val="20"/>
          <w:szCs w:val="20"/>
        </w:rPr>
        <w:t xml:space="preserve">vel of company touches, to </w:t>
      </w:r>
      <w:r w:rsidRPr="003750B8">
        <w:rPr>
          <w:sz w:val="20"/>
          <w:szCs w:val="20"/>
        </w:rPr>
        <w:t>focus on</w:t>
      </w:r>
      <w:r w:rsidR="006E42C4" w:rsidRPr="003750B8">
        <w:rPr>
          <w:sz w:val="20"/>
          <w:szCs w:val="20"/>
        </w:rPr>
        <w:t xml:space="preserve"> the back-</w:t>
      </w:r>
      <w:r w:rsidR="000335A4" w:rsidRPr="003750B8">
        <w:rPr>
          <w:sz w:val="20"/>
          <w:szCs w:val="20"/>
        </w:rPr>
        <w:t>end of our process</w:t>
      </w:r>
      <w:r w:rsidR="00594582" w:rsidRPr="003750B8">
        <w:rPr>
          <w:sz w:val="20"/>
          <w:szCs w:val="20"/>
        </w:rPr>
        <w:t>—the models and dashboards</w:t>
      </w:r>
      <w:r w:rsidR="000335A4" w:rsidRPr="003750B8">
        <w:rPr>
          <w:sz w:val="20"/>
          <w:szCs w:val="20"/>
        </w:rPr>
        <w:t xml:space="preserve">.  </w:t>
      </w:r>
      <w:r w:rsidRPr="003750B8">
        <w:rPr>
          <w:sz w:val="20"/>
          <w:szCs w:val="20"/>
        </w:rPr>
        <w:t>Our mantra ri</w:t>
      </w:r>
      <w:r w:rsidR="006E42C4" w:rsidRPr="003750B8">
        <w:rPr>
          <w:sz w:val="20"/>
          <w:szCs w:val="20"/>
        </w:rPr>
        <w:t>ght now as a research team is: “Dot the I’s and C</w:t>
      </w:r>
      <w:r w:rsidRPr="003750B8">
        <w:rPr>
          <w:sz w:val="20"/>
          <w:szCs w:val="20"/>
        </w:rPr>
        <w:t xml:space="preserve">ross </w:t>
      </w:r>
      <w:r w:rsidR="00594582" w:rsidRPr="003750B8">
        <w:rPr>
          <w:sz w:val="20"/>
          <w:szCs w:val="20"/>
        </w:rPr>
        <w:t xml:space="preserve">the T’s”.  </w:t>
      </w:r>
      <w:r w:rsidRPr="003750B8">
        <w:rPr>
          <w:sz w:val="20"/>
          <w:szCs w:val="20"/>
        </w:rPr>
        <w:t>We now need to be as strong on the back end of our process as we have been out</w:t>
      </w:r>
      <w:r w:rsidR="00594582" w:rsidRPr="003750B8">
        <w:rPr>
          <w:sz w:val="20"/>
          <w:szCs w:val="20"/>
        </w:rPr>
        <w:t xml:space="preserve"> of the chute on the front end and t</w:t>
      </w:r>
      <w:r w:rsidRPr="003750B8">
        <w:rPr>
          <w:sz w:val="20"/>
          <w:szCs w:val="20"/>
        </w:rPr>
        <w:t>his is</w:t>
      </w:r>
      <w:r w:rsidR="006E42C4" w:rsidRPr="003750B8">
        <w:rPr>
          <w:sz w:val="20"/>
          <w:szCs w:val="20"/>
        </w:rPr>
        <w:t xml:space="preserve"> our greatest focus right now.</w:t>
      </w:r>
    </w:p>
    <w:p w:rsidR="006E42C4" w:rsidRPr="003750B8" w:rsidRDefault="006E42C4" w:rsidP="00AC39A5">
      <w:pPr>
        <w:ind w:right="-270"/>
        <w:rPr>
          <w:sz w:val="20"/>
          <w:szCs w:val="20"/>
        </w:rPr>
      </w:pPr>
    </w:p>
    <w:p w:rsidR="00AC39A5" w:rsidRPr="003750B8" w:rsidRDefault="00594582" w:rsidP="00AC39A5">
      <w:pPr>
        <w:ind w:right="-270"/>
        <w:rPr>
          <w:sz w:val="20"/>
          <w:szCs w:val="20"/>
        </w:rPr>
      </w:pPr>
      <w:r w:rsidRPr="003750B8">
        <w:rPr>
          <w:sz w:val="20"/>
          <w:szCs w:val="20"/>
        </w:rPr>
        <w:t>We</w:t>
      </w:r>
      <w:r w:rsidR="00AC39A5" w:rsidRPr="003750B8">
        <w:rPr>
          <w:sz w:val="20"/>
          <w:szCs w:val="20"/>
        </w:rPr>
        <w:t xml:space="preserve"> look forward to reporting </w:t>
      </w:r>
      <w:r w:rsidR="006E42C4" w:rsidRPr="003750B8">
        <w:rPr>
          <w:sz w:val="20"/>
          <w:szCs w:val="20"/>
        </w:rPr>
        <w:t xml:space="preserve">continued </w:t>
      </w:r>
      <w:r w:rsidR="00AC39A5" w:rsidRPr="003750B8">
        <w:rPr>
          <w:sz w:val="20"/>
          <w:szCs w:val="20"/>
        </w:rPr>
        <w:t>progress in this are</w:t>
      </w:r>
      <w:r w:rsidR="006E42C4" w:rsidRPr="003750B8">
        <w:rPr>
          <w:sz w:val="20"/>
          <w:szCs w:val="20"/>
        </w:rPr>
        <w:t>a</w:t>
      </w:r>
      <w:r w:rsidR="00AC39A5" w:rsidRPr="003750B8">
        <w:rPr>
          <w:sz w:val="20"/>
          <w:szCs w:val="20"/>
        </w:rPr>
        <w:t xml:space="preserve"> to</w:t>
      </w:r>
      <w:r w:rsidR="006E42C4" w:rsidRPr="003750B8">
        <w:rPr>
          <w:sz w:val="20"/>
          <w:szCs w:val="20"/>
        </w:rPr>
        <w:t xml:space="preserve"> you in the next quarter or two, but i</w:t>
      </w:r>
      <w:r w:rsidR="00AC39A5" w:rsidRPr="003750B8">
        <w:rPr>
          <w:sz w:val="20"/>
          <w:szCs w:val="20"/>
        </w:rPr>
        <w:t>n this regard we’re actively building a support team for our research ana</w:t>
      </w:r>
      <w:r w:rsidRPr="003750B8">
        <w:rPr>
          <w:sz w:val="20"/>
          <w:szCs w:val="20"/>
        </w:rPr>
        <w:t>l</w:t>
      </w:r>
      <w:r w:rsidR="00AC39A5" w:rsidRPr="003750B8">
        <w:rPr>
          <w:sz w:val="20"/>
          <w:szCs w:val="20"/>
        </w:rPr>
        <w:t>ysts.  We currently have 3 interns from local universities and a couple of high school kids</w:t>
      </w:r>
      <w:r w:rsidRPr="003750B8">
        <w:rPr>
          <w:sz w:val="20"/>
          <w:szCs w:val="20"/>
        </w:rPr>
        <w:t xml:space="preserve"> working for us</w:t>
      </w:r>
      <w:r w:rsidR="00AC39A5" w:rsidRPr="003750B8">
        <w:rPr>
          <w:sz w:val="20"/>
          <w:szCs w:val="20"/>
        </w:rPr>
        <w:t xml:space="preserve"> (recall </w:t>
      </w:r>
      <w:r w:rsidRPr="003750B8">
        <w:rPr>
          <w:sz w:val="20"/>
          <w:szCs w:val="20"/>
        </w:rPr>
        <w:t>that Robert and Eric both</w:t>
      </w:r>
      <w:r w:rsidR="00AC39A5" w:rsidRPr="003750B8">
        <w:rPr>
          <w:sz w:val="20"/>
          <w:szCs w:val="20"/>
        </w:rPr>
        <w:t xml:space="preserve"> started a</w:t>
      </w:r>
      <w:r w:rsidRPr="003750B8">
        <w:rPr>
          <w:sz w:val="20"/>
          <w:szCs w:val="20"/>
        </w:rPr>
        <w:t>t Wasatch Advisors as a sixteen-year-</w:t>
      </w:r>
      <w:r w:rsidR="00AC39A5" w:rsidRPr="003750B8">
        <w:rPr>
          <w:sz w:val="20"/>
          <w:szCs w:val="20"/>
        </w:rPr>
        <w:t>old</w:t>
      </w:r>
      <w:r w:rsidRPr="003750B8">
        <w:rPr>
          <w:sz w:val="20"/>
          <w:szCs w:val="20"/>
        </w:rPr>
        <w:t xml:space="preserve"> high school kids).  Our hope is to grow the next generation of Grandeur Peak analysts from </w:t>
      </w:r>
      <w:r w:rsidR="00AC39A5" w:rsidRPr="003750B8">
        <w:rPr>
          <w:sz w:val="20"/>
          <w:szCs w:val="20"/>
        </w:rPr>
        <w:t xml:space="preserve">these interns and high school kids.  </w:t>
      </w:r>
      <w:r w:rsidRPr="003750B8">
        <w:rPr>
          <w:sz w:val="20"/>
          <w:szCs w:val="20"/>
        </w:rPr>
        <w:t xml:space="preserve">As they mature they </w:t>
      </w:r>
      <w:r w:rsidR="006E42C4" w:rsidRPr="003750B8">
        <w:rPr>
          <w:sz w:val="20"/>
          <w:szCs w:val="20"/>
        </w:rPr>
        <w:t>will</w:t>
      </w:r>
      <w:r w:rsidRPr="003750B8">
        <w:rPr>
          <w:sz w:val="20"/>
          <w:szCs w:val="20"/>
        </w:rPr>
        <w:t xml:space="preserve"> increase the productivity of our senior analysts and portfolio mana</w:t>
      </w:r>
      <w:r w:rsidR="007479B0" w:rsidRPr="003750B8">
        <w:rPr>
          <w:sz w:val="20"/>
          <w:szCs w:val="20"/>
        </w:rPr>
        <w:t>gers measurably</w:t>
      </w:r>
      <w:r w:rsidR="006E42C4" w:rsidRPr="003750B8">
        <w:rPr>
          <w:sz w:val="20"/>
          <w:szCs w:val="20"/>
        </w:rPr>
        <w:t>,</w:t>
      </w:r>
      <w:r w:rsidR="007479B0" w:rsidRPr="003750B8">
        <w:rPr>
          <w:sz w:val="20"/>
          <w:szCs w:val="20"/>
        </w:rPr>
        <w:t xml:space="preserve"> and i</w:t>
      </w:r>
      <w:r w:rsidR="00AC39A5" w:rsidRPr="003750B8">
        <w:rPr>
          <w:sz w:val="20"/>
          <w:szCs w:val="20"/>
        </w:rPr>
        <w:t>n the meantime</w:t>
      </w:r>
      <w:r w:rsidRPr="003750B8">
        <w:rPr>
          <w:sz w:val="20"/>
          <w:szCs w:val="20"/>
        </w:rPr>
        <w:t>,</w:t>
      </w:r>
      <w:r w:rsidR="00AC39A5" w:rsidRPr="003750B8">
        <w:rPr>
          <w:sz w:val="20"/>
          <w:szCs w:val="20"/>
        </w:rPr>
        <w:t xml:space="preserve"> they</w:t>
      </w:r>
      <w:r w:rsidR="006E42C4" w:rsidRPr="003750B8">
        <w:rPr>
          <w:sz w:val="20"/>
          <w:szCs w:val="20"/>
        </w:rPr>
        <w:t>’re</w:t>
      </w:r>
      <w:r w:rsidR="00AC39A5" w:rsidRPr="003750B8">
        <w:rPr>
          <w:sz w:val="20"/>
          <w:szCs w:val="20"/>
        </w:rPr>
        <w:t xml:space="preserve"> </w:t>
      </w:r>
      <w:r w:rsidR="006E42C4" w:rsidRPr="003750B8">
        <w:rPr>
          <w:sz w:val="20"/>
          <w:szCs w:val="20"/>
        </w:rPr>
        <w:t>taking</w:t>
      </w:r>
      <w:r w:rsidR="007479B0" w:rsidRPr="003750B8">
        <w:rPr>
          <w:sz w:val="20"/>
          <w:szCs w:val="20"/>
        </w:rPr>
        <w:t xml:space="preserve"> a great load off the research team by performing some of the more mundane tasks (ie: “grunt </w:t>
      </w:r>
      <w:r w:rsidR="006E42C4" w:rsidRPr="003750B8">
        <w:rPr>
          <w:sz w:val="20"/>
          <w:szCs w:val="20"/>
        </w:rPr>
        <w:t>work”) and helping us stay orga</w:t>
      </w:r>
      <w:r w:rsidR="007479B0" w:rsidRPr="003750B8">
        <w:rPr>
          <w:sz w:val="20"/>
          <w:szCs w:val="20"/>
        </w:rPr>
        <w:t>nized</w:t>
      </w:r>
      <w:r w:rsidR="006E42C4" w:rsidRPr="003750B8">
        <w:rPr>
          <w:sz w:val="20"/>
          <w:szCs w:val="20"/>
        </w:rPr>
        <w:t>.</w:t>
      </w:r>
    </w:p>
    <w:p w:rsidR="00487AA9" w:rsidRDefault="00487AA9" w:rsidP="00584C1C">
      <w:pPr>
        <w:pStyle w:val="ListParagraph"/>
        <w:ind w:left="0" w:right="-270"/>
        <w:rPr>
          <w:sz w:val="20"/>
          <w:szCs w:val="20"/>
        </w:rPr>
      </w:pPr>
    </w:p>
    <w:p w:rsidR="00584C1C" w:rsidRPr="003750B8" w:rsidRDefault="00C3187D" w:rsidP="00584C1C">
      <w:pPr>
        <w:pStyle w:val="ListParagraph"/>
        <w:ind w:left="0" w:right="-270"/>
        <w:rPr>
          <w:sz w:val="20"/>
          <w:szCs w:val="20"/>
        </w:rPr>
      </w:pPr>
      <w:r w:rsidRPr="003750B8">
        <w:rPr>
          <w:sz w:val="20"/>
          <w:szCs w:val="20"/>
        </w:rPr>
        <w:lastRenderedPageBreak/>
        <w:t>We continue to attract</w:t>
      </w:r>
      <w:r w:rsidR="00584C1C" w:rsidRPr="003750B8">
        <w:rPr>
          <w:sz w:val="20"/>
          <w:szCs w:val="20"/>
        </w:rPr>
        <w:t xml:space="preserve"> some great clients to the firm and </w:t>
      </w:r>
      <w:r w:rsidR="00633F54" w:rsidRPr="003750B8">
        <w:rPr>
          <w:sz w:val="20"/>
          <w:szCs w:val="20"/>
        </w:rPr>
        <w:t xml:space="preserve">as mentioned earlier, </w:t>
      </w:r>
      <w:r w:rsidR="00584C1C" w:rsidRPr="003750B8">
        <w:rPr>
          <w:sz w:val="20"/>
          <w:szCs w:val="20"/>
        </w:rPr>
        <w:t xml:space="preserve">have seen strong inflows.  </w:t>
      </w:r>
      <w:r w:rsidR="007479B0" w:rsidRPr="003750B8">
        <w:rPr>
          <w:sz w:val="20"/>
          <w:szCs w:val="20"/>
        </w:rPr>
        <w:t>At the end of Q1-2012 our firm-</w:t>
      </w:r>
      <w:r w:rsidRPr="003750B8">
        <w:rPr>
          <w:sz w:val="20"/>
          <w:szCs w:val="20"/>
        </w:rPr>
        <w:t xml:space="preserve">wide assets under management stood at just </w:t>
      </w:r>
      <w:r w:rsidR="00633F54" w:rsidRPr="003750B8">
        <w:rPr>
          <w:sz w:val="20"/>
          <w:szCs w:val="20"/>
        </w:rPr>
        <w:t>over $163</w:t>
      </w:r>
      <w:r w:rsidRPr="003750B8">
        <w:rPr>
          <w:sz w:val="20"/>
          <w:szCs w:val="20"/>
        </w:rPr>
        <w:t xml:space="preserve"> million.</w:t>
      </w:r>
      <w:r w:rsidR="00097A1E" w:rsidRPr="003750B8">
        <w:rPr>
          <w:sz w:val="20"/>
          <w:szCs w:val="20"/>
        </w:rPr>
        <w:t xml:space="preserve"> </w:t>
      </w:r>
      <w:r w:rsidR="007479B0" w:rsidRPr="003750B8">
        <w:rPr>
          <w:sz w:val="20"/>
          <w:szCs w:val="20"/>
        </w:rPr>
        <w:t xml:space="preserve"> </w:t>
      </w:r>
      <w:r w:rsidR="00584C1C" w:rsidRPr="003750B8">
        <w:rPr>
          <w:sz w:val="20"/>
          <w:szCs w:val="20"/>
        </w:rPr>
        <w:t>We thank you for your continued trust.</w:t>
      </w:r>
    </w:p>
    <w:p w:rsidR="00D83B07" w:rsidRPr="003750B8" w:rsidRDefault="00D83B07" w:rsidP="00D83B07">
      <w:pPr>
        <w:pStyle w:val="ListParagraph"/>
        <w:ind w:left="0" w:right="-270"/>
        <w:rPr>
          <w:sz w:val="20"/>
          <w:szCs w:val="20"/>
        </w:rPr>
      </w:pPr>
    </w:p>
    <w:p w:rsidR="00D83B07" w:rsidRPr="003750B8" w:rsidRDefault="00D83B07" w:rsidP="00D83B07">
      <w:pPr>
        <w:pStyle w:val="ListParagraph"/>
        <w:ind w:left="0" w:right="-270"/>
        <w:rPr>
          <w:sz w:val="20"/>
          <w:szCs w:val="20"/>
        </w:rPr>
      </w:pPr>
      <w:r w:rsidRPr="003750B8">
        <w:rPr>
          <w:sz w:val="20"/>
          <w:szCs w:val="20"/>
        </w:rPr>
        <w:t>Sincerely,</w:t>
      </w:r>
    </w:p>
    <w:p w:rsidR="003B4F1D" w:rsidRPr="003750B8" w:rsidRDefault="003B4F1D" w:rsidP="00D83B07">
      <w:pPr>
        <w:pStyle w:val="ListParagraph"/>
        <w:ind w:left="0" w:right="-270"/>
        <w:rPr>
          <w:sz w:val="20"/>
          <w:szCs w:val="20"/>
        </w:rPr>
      </w:pPr>
    </w:p>
    <w:p w:rsidR="00D83B07" w:rsidRPr="003750B8" w:rsidRDefault="00C22546" w:rsidP="00D83B07">
      <w:pPr>
        <w:pStyle w:val="ListParagraph"/>
        <w:ind w:left="0" w:right="-270"/>
        <w:rPr>
          <w:sz w:val="20"/>
          <w:szCs w:val="20"/>
        </w:rPr>
      </w:pPr>
      <w:r w:rsidRPr="003750B8">
        <w:rPr>
          <w:sz w:val="20"/>
          <w:szCs w:val="20"/>
        </w:rPr>
        <w:t>Mark Siddoway, CFA, CAIA</w:t>
      </w:r>
      <w:r w:rsidRPr="003750B8">
        <w:rPr>
          <w:rStyle w:val="FootnoteReference"/>
          <w:sz w:val="20"/>
          <w:szCs w:val="20"/>
        </w:rPr>
        <w:footnoteReference w:id="8"/>
      </w:r>
    </w:p>
    <w:p w:rsidR="00D83B07" w:rsidRPr="003750B8" w:rsidRDefault="00D83B07" w:rsidP="00D83B07">
      <w:pPr>
        <w:pStyle w:val="ListParagraph"/>
        <w:ind w:left="0" w:right="-270"/>
        <w:rPr>
          <w:sz w:val="20"/>
          <w:szCs w:val="20"/>
        </w:rPr>
      </w:pPr>
      <w:r w:rsidRPr="003750B8">
        <w:rPr>
          <w:sz w:val="20"/>
          <w:szCs w:val="20"/>
        </w:rPr>
        <w:t>Grandeur Peak Global Advisors</w:t>
      </w:r>
    </w:p>
    <w:p w:rsidR="00584C1C" w:rsidRDefault="00584C1C">
      <w:pPr>
        <w:rPr>
          <w:sz w:val="22"/>
        </w:rPr>
      </w:pPr>
      <w:r w:rsidRPr="003750B8">
        <w:rPr>
          <w:sz w:val="20"/>
          <w:szCs w:val="20"/>
        </w:rPr>
        <w:br w:type="page"/>
      </w:r>
    </w:p>
    <w:sectPr w:rsidR="00584C1C" w:rsidSect="004803B7">
      <w:headerReference w:type="default" r:id="rId12"/>
      <w:footerReference w:type="even" r:id="rId13"/>
      <w:footerReference w:type="default" r:id="rId14"/>
      <w:pgSz w:w="12240" w:h="15840"/>
      <w:pgMar w:top="1440" w:right="1440" w:bottom="81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299" w:rsidRDefault="00AB6299">
      <w:r>
        <w:separator/>
      </w:r>
    </w:p>
  </w:endnote>
  <w:endnote w:type="continuationSeparator" w:id="0">
    <w:p w:rsidR="00AB6299" w:rsidRDefault="00AB6299">
      <w:r>
        <w:continuationSeparator/>
      </w:r>
    </w:p>
  </w:endnote>
  <w:endnote w:id="1">
    <w:p w:rsidR="001E4E86" w:rsidRPr="003750B8" w:rsidRDefault="001E4E86" w:rsidP="00440AFB">
      <w:pPr>
        <w:widowControl w:val="0"/>
        <w:autoSpaceDE w:val="0"/>
        <w:autoSpaceDN w:val="0"/>
        <w:adjustRightInd w:val="0"/>
        <w:spacing w:after="240"/>
        <w:rPr>
          <w:sz w:val="20"/>
          <w:szCs w:val="20"/>
        </w:rPr>
      </w:pPr>
      <w:r w:rsidRPr="003750B8">
        <w:rPr>
          <w:rStyle w:val="EndnoteReference"/>
          <w:sz w:val="20"/>
          <w:szCs w:val="20"/>
        </w:rPr>
        <w:endnoteRef/>
      </w:r>
      <w:r w:rsidRPr="003750B8">
        <w:rPr>
          <w:rStyle w:val="EndnoteReference"/>
          <w:sz w:val="20"/>
          <w:szCs w:val="20"/>
        </w:rPr>
        <w:t xml:space="preserve"> </w:t>
      </w:r>
      <w:r w:rsidRPr="003750B8">
        <w:rPr>
          <w:i/>
          <w:iCs/>
          <w:sz w:val="20"/>
          <w:szCs w:val="20"/>
        </w:rPr>
        <w:t xml:space="preserve">The Russell Global Small Cap Index offers investors access to the small-cap segment of the global equity universe.  It is constructed to provide a comprehensive and unbiased barometer for the small-cap segment and is completely reconstituted annually to accurately reflect the changes in the market over time. </w:t>
      </w:r>
    </w:p>
  </w:endnote>
  <w:endnote w:id="2">
    <w:p w:rsidR="001E4E86" w:rsidRPr="003750B8" w:rsidRDefault="001E4E86" w:rsidP="00440AFB">
      <w:pPr>
        <w:widowControl w:val="0"/>
        <w:autoSpaceDE w:val="0"/>
        <w:autoSpaceDN w:val="0"/>
        <w:adjustRightInd w:val="0"/>
        <w:spacing w:after="240"/>
        <w:rPr>
          <w:i/>
          <w:iCs/>
          <w:sz w:val="20"/>
          <w:szCs w:val="20"/>
        </w:rPr>
      </w:pPr>
      <w:r w:rsidRPr="003750B8">
        <w:rPr>
          <w:rStyle w:val="EndnoteReference"/>
          <w:sz w:val="20"/>
          <w:szCs w:val="20"/>
        </w:rPr>
        <w:endnoteRef/>
      </w:r>
      <w:r w:rsidRPr="003750B8">
        <w:rPr>
          <w:sz w:val="20"/>
          <w:szCs w:val="20"/>
        </w:rPr>
        <w:t xml:space="preserve"> </w:t>
      </w:r>
      <w:r w:rsidRPr="003750B8">
        <w:rPr>
          <w:i/>
          <w:iCs/>
          <w:sz w:val="20"/>
          <w:szCs w:val="20"/>
        </w:rPr>
        <w:t xml:space="preserve">The Russell Global Index measures the performance of the global equity market based on all investable equity securities. All securities in the Russell Global Index are classified according to size, region, country, and sector, as a result the Index can be segmented into thousands of distinct benchmarks.  </w:t>
      </w:r>
    </w:p>
  </w:endnote>
  <w:endnote w:id="3">
    <w:p w:rsidR="001E4E86" w:rsidRPr="003750B8" w:rsidRDefault="001E4E86">
      <w:pPr>
        <w:pStyle w:val="EndnoteText"/>
        <w:rPr>
          <w:i/>
          <w:iCs/>
          <w:sz w:val="20"/>
          <w:szCs w:val="20"/>
        </w:rPr>
      </w:pPr>
      <w:r w:rsidRPr="003750B8">
        <w:rPr>
          <w:rStyle w:val="EndnoteReference"/>
          <w:sz w:val="20"/>
          <w:szCs w:val="20"/>
        </w:rPr>
        <w:endnoteRef/>
      </w:r>
      <w:r w:rsidRPr="003750B8">
        <w:rPr>
          <w:sz w:val="20"/>
          <w:szCs w:val="20"/>
        </w:rPr>
        <w:t xml:space="preserve"> </w:t>
      </w:r>
      <w:r w:rsidRPr="003750B8">
        <w:rPr>
          <w:i/>
          <w:iCs/>
          <w:sz w:val="20"/>
          <w:szCs w:val="20"/>
        </w:rPr>
        <w:t>The Russell Global ex-U.S. Small Cap Index measures the performance of the small-cap segment of the global equity universe, excluding companies assigned to the United States.</w:t>
      </w:r>
    </w:p>
    <w:p w:rsidR="001E4E86" w:rsidRPr="003750B8" w:rsidRDefault="001E4E86">
      <w:pPr>
        <w:pStyle w:val="EndnoteText"/>
        <w:rPr>
          <w:sz w:val="20"/>
          <w:szCs w:val="20"/>
        </w:rPr>
      </w:pPr>
    </w:p>
  </w:endnote>
  <w:endnote w:id="4">
    <w:p w:rsidR="001E4E86" w:rsidRPr="003750B8" w:rsidRDefault="001E4E86">
      <w:pPr>
        <w:pStyle w:val="EndnoteText"/>
        <w:rPr>
          <w:i/>
          <w:iCs/>
          <w:sz w:val="20"/>
          <w:szCs w:val="20"/>
        </w:rPr>
      </w:pPr>
      <w:r w:rsidRPr="003750B8">
        <w:rPr>
          <w:rStyle w:val="EndnoteReference"/>
          <w:sz w:val="20"/>
          <w:szCs w:val="20"/>
        </w:rPr>
        <w:endnoteRef/>
      </w:r>
      <w:r w:rsidRPr="003750B8">
        <w:rPr>
          <w:sz w:val="20"/>
          <w:szCs w:val="20"/>
        </w:rPr>
        <w:t xml:space="preserve"> </w:t>
      </w:r>
      <w:r w:rsidRPr="003750B8">
        <w:rPr>
          <w:i/>
          <w:iCs/>
          <w:sz w:val="20"/>
          <w:szCs w:val="20"/>
        </w:rPr>
        <w:t>The Russell Global ex-U.S. Index measures the performance of the global equity market based on all investable equity securities, excluding companies assigned to the United States.</w:t>
      </w:r>
    </w:p>
    <w:p w:rsidR="001E4E86" w:rsidRPr="003750B8" w:rsidRDefault="001E4E86">
      <w:pPr>
        <w:pStyle w:val="EndnoteText"/>
        <w:rPr>
          <w:sz w:val="20"/>
          <w:szCs w:val="20"/>
        </w:rPr>
      </w:pPr>
    </w:p>
    <w:p w:rsidR="001E4E86" w:rsidRPr="00F421D5" w:rsidRDefault="001E4E86" w:rsidP="00D27751">
      <w:pPr>
        <w:widowControl w:val="0"/>
        <w:autoSpaceDE w:val="0"/>
        <w:autoSpaceDN w:val="0"/>
        <w:adjustRightInd w:val="0"/>
        <w:spacing w:after="240"/>
        <w:rPr>
          <w:i/>
          <w:iCs/>
          <w:sz w:val="20"/>
          <w:szCs w:val="20"/>
        </w:rPr>
      </w:pPr>
      <w:r w:rsidRPr="00F421D5">
        <w:rPr>
          <w:i/>
          <w:iCs/>
          <w:sz w:val="20"/>
          <w:szCs w:val="20"/>
        </w:rPr>
        <w:t>You cannot invest directly in these or any indices.</w:t>
      </w:r>
    </w:p>
    <w:p w:rsidR="001E4E86" w:rsidRPr="00F421D5" w:rsidRDefault="001E4E86" w:rsidP="00F421D5">
      <w:pPr>
        <w:widowControl w:val="0"/>
        <w:autoSpaceDE w:val="0"/>
        <w:autoSpaceDN w:val="0"/>
        <w:adjustRightInd w:val="0"/>
        <w:spacing w:after="240"/>
        <w:rPr>
          <w:i/>
          <w:sz w:val="20"/>
          <w:szCs w:val="20"/>
        </w:rPr>
      </w:pPr>
      <w:r w:rsidRPr="00F421D5">
        <w:rPr>
          <w:i/>
          <w:iCs/>
          <w:sz w:val="20"/>
          <w:szCs w:val="20"/>
        </w:rPr>
        <w:t xml:space="preserve">Credit Default Swap (CDS) is </w:t>
      </w:r>
      <w:r w:rsidR="00A70D2B">
        <w:rPr>
          <w:i/>
          <w:sz w:val="20"/>
          <w:szCs w:val="20"/>
          <w:shd w:val="clear" w:color="auto" w:fill="FFFFFF"/>
        </w:rPr>
        <w:t>a</w:t>
      </w:r>
      <w:r w:rsidRPr="00F421D5">
        <w:rPr>
          <w:i/>
          <w:sz w:val="20"/>
          <w:szCs w:val="20"/>
          <w:shd w:val="clear" w:color="auto" w:fill="FFFFFF"/>
        </w:rPr>
        <w:t xml:space="preserve"> swap designed to transfer the credit exposure of fixed income products between parties. Payments are made to the seller of the swap. In return, the seller agrees to pay off a third party debt if this party defaults on the loan. A CDS is considered insurance against non-payment. A buyer of a CDS might be speculating on the possibility that the third party will indeed default.</w:t>
      </w:r>
    </w:p>
    <w:p w:rsidR="001E4E86" w:rsidRPr="00F421D5" w:rsidRDefault="001E4E86" w:rsidP="00F421D5">
      <w:pPr>
        <w:widowControl w:val="0"/>
        <w:autoSpaceDE w:val="0"/>
        <w:autoSpaceDN w:val="0"/>
        <w:adjustRightInd w:val="0"/>
        <w:spacing w:after="240"/>
        <w:rPr>
          <w:i/>
          <w:sz w:val="20"/>
          <w:szCs w:val="20"/>
          <w:shd w:val="clear" w:color="auto" w:fill="FFFFFF"/>
        </w:rPr>
      </w:pPr>
      <w:r w:rsidRPr="00F421D5">
        <w:rPr>
          <w:bCs/>
          <w:i/>
          <w:sz w:val="20"/>
          <w:szCs w:val="20"/>
        </w:rPr>
        <w:t>Treasury Inflat</w:t>
      </w:r>
      <w:r>
        <w:rPr>
          <w:bCs/>
          <w:i/>
          <w:sz w:val="20"/>
          <w:szCs w:val="20"/>
        </w:rPr>
        <w:t>ion Protected Security</w:t>
      </w:r>
      <w:r w:rsidRPr="00F421D5">
        <w:rPr>
          <w:bCs/>
          <w:i/>
          <w:sz w:val="20"/>
          <w:szCs w:val="20"/>
        </w:rPr>
        <w:t xml:space="preserve"> (TIPS)</w:t>
      </w:r>
      <w:r>
        <w:rPr>
          <w:bCs/>
          <w:i/>
          <w:sz w:val="20"/>
          <w:szCs w:val="20"/>
        </w:rPr>
        <w:t xml:space="preserve"> is</w:t>
      </w:r>
      <w:r w:rsidRPr="00F421D5">
        <w:rPr>
          <w:bCs/>
          <w:i/>
          <w:sz w:val="20"/>
          <w:szCs w:val="20"/>
        </w:rPr>
        <w:t xml:space="preserve"> a</w:t>
      </w:r>
      <w:r w:rsidRPr="00F421D5">
        <w:rPr>
          <w:i/>
          <w:sz w:val="20"/>
          <w:szCs w:val="20"/>
          <w:shd w:val="clear" w:color="auto" w:fill="FFFFFF"/>
        </w:rPr>
        <w:t xml:space="preserve"> treasury security that is indexed to inflation in order to protect investors from the negative effects of inflation.</w:t>
      </w:r>
    </w:p>
    <w:p w:rsidR="001E4E86" w:rsidRPr="00A70D2B" w:rsidRDefault="00A70D2B" w:rsidP="00F421D5">
      <w:pPr>
        <w:widowControl w:val="0"/>
        <w:autoSpaceDE w:val="0"/>
        <w:autoSpaceDN w:val="0"/>
        <w:adjustRightInd w:val="0"/>
        <w:spacing w:after="240"/>
        <w:rPr>
          <w:i/>
          <w:iCs/>
          <w:sz w:val="20"/>
          <w:szCs w:val="20"/>
        </w:rPr>
      </w:pPr>
      <w:r w:rsidRPr="00A70D2B">
        <w:rPr>
          <w:bCs/>
          <w:i/>
          <w:sz w:val="20"/>
          <w:szCs w:val="20"/>
        </w:rPr>
        <w:t>Economic Transformation Program (ETP</w:t>
      </w:r>
      <w:r w:rsidR="001E4E86" w:rsidRPr="00A70D2B">
        <w:rPr>
          <w:i/>
          <w:sz w:val="20"/>
          <w:szCs w:val="20"/>
          <w:shd w:val="clear" w:color="auto" w:fill="FFFFFF"/>
        </w:rPr>
        <w:t>)</w:t>
      </w:r>
      <w:r w:rsidRPr="00A70D2B">
        <w:rPr>
          <w:i/>
          <w:sz w:val="20"/>
          <w:szCs w:val="20"/>
          <w:shd w:val="clear" w:color="auto" w:fill="FFFFFF"/>
        </w:rPr>
        <w:t xml:space="preserve">is </w:t>
      </w:r>
      <w:r w:rsidRPr="00A70D2B">
        <w:rPr>
          <w:i/>
          <w:color w:val="000000"/>
          <w:sz w:val="20"/>
          <w:szCs w:val="20"/>
          <w:shd w:val="clear" w:color="auto" w:fill="FFFFFF"/>
        </w:rPr>
        <w:t>an initiative by the Malaysian government to turn Malaysia into a high income economy by the year of 202</w:t>
      </w:r>
      <w:r>
        <w:rPr>
          <w:i/>
          <w:color w:val="000000"/>
          <w:sz w:val="20"/>
          <w:szCs w:val="20"/>
          <w:shd w:val="clear" w:color="auto" w:fill="FFFFFF"/>
        </w:rPr>
        <w:t>0.</w:t>
      </w:r>
    </w:p>
    <w:tbl>
      <w:tblPr>
        <w:tblStyle w:val="TableGrid"/>
        <w:tblW w:w="9540" w:type="dxa"/>
        <w:tblInd w:w="108" w:type="dxa"/>
        <w:tblLayout w:type="fixed"/>
        <w:tblLook w:val="04A0" w:firstRow="1" w:lastRow="0" w:firstColumn="1" w:lastColumn="0" w:noHBand="0" w:noVBand="1"/>
      </w:tblPr>
      <w:tblGrid>
        <w:gridCol w:w="3240"/>
        <w:gridCol w:w="1260"/>
        <w:gridCol w:w="270"/>
        <w:gridCol w:w="3690"/>
        <w:gridCol w:w="1080"/>
      </w:tblGrid>
      <w:tr w:rsidR="001E4E86" w:rsidRPr="003750B8" w:rsidTr="008D0EE8">
        <w:trPr>
          <w:cantSplit/>
          <w:trHeight w:hRule="exact" w:val="604"/>
        </w:trPr>
        <w:tc>
          <w:tcPr>
            <w:tcW w:w="3240" w:type="dxa"/>
          </w:tcPr>
          <w:p w:rsidR="001E4E86" w:rsidRPr="003750B8" w:rsidRDefault="001E4E86" w:rsidP="008D0EE8">
            <w:pPr>
              <w:widowControl w:val="0"/>
              <w:autoSpaceDE w:val="0"/>
              <w:autoSpaceDN w:val="0"/>
              <w:adjustRightInd w:val="0"/>
              <w:spacing w:after="240"/>
              <w:rPr>
                <w:sz w:val="20"/>
                <w:szCs w:val="20"/>
              </w:rPr>
            </w:pPr>
            <w:r w:rsidRPr="003750B8">
              <w:rPr>
                <w:sz w:val="20"/>
                <w:szCs w:val="20"/>
              </w:rPr>
              <w:t>Global Opportunities Fund Top 10 Holdings as of Dec 31, 2011*</w:t>
            </w:r>
          </w:p>
        </w:tc>
        <w:tc>
          <w:tcPr>
            <w:tcW w:w="1260" w:type="dxa"/>
          </w:tcPr>
          <w:p w:rsidR="001E4E86" w:rsidRPr="003750B8" w:rsidRDefault="001E4E86" w:rsidP="008D0EE8">
            <w:pPr>
              <w:widowControl w:val="0"/>
              <w:autoSpaceDE w:val="0"/>
              <w:autoSpaceDN w:val="0"/>
              <w:adjustRightInd w:val="0"/>
              <w:spacing w:after="240"/>
              <w:jc w:val="center"/>
              <w:rPr>
                <w:sz w:val="20"/>
                <w:szCs w:val="20"/>
              </w:rPr>
            </w:pPr>
            <w:r w:rsidRPr="003750B8">
              <w:rPr>
                <w:sz w:val="20"/>
                <w:szCs w:val="20"/>
              </w:rPr>
              <w:t>Percent of Net Assets</w:t>
            </w:r>
          </w:p>
        </w:tc>
        <w:tc>
          <w:tcPr>
            <w:tcW w:w="270" w:type="dxa"/>
          </w:tcPr>
          <w:p w:rsidR="001E4E86" w:rsidRPr="003750B8" w:rsidRDefault="001E4E86" w:rsidP="008D0EE8">
            <w:pPr>
              <w:widowControl w:val="0"/>
              <w:autoSpaceDE w:val="0"/>
              <w:autoSpaceDN w:val="0"/>
              <w:adjustRightInd w:val="0"/>
              <w:spacing w:after="240"/>
              <w:rPr>
                <w:sz w:val="20"/>
                <w:szCs w:val="20"/>
              </w:rPr>
            </w:pPr>
          </w:p>
        </w:tc>
        <w:tc>
          <w:tcPr>
            <w:tcW w:w="3690" w:type="dxa"/>
          </w:tcPr>
          <w:p w:rsidR="001E4E86" w:rsidRPr="003750B8" w:rsidRDefault="001E4E86" w:rsidP="008D0EE8">
            <w:pPr>
              <w:widowControl w:val="0"/>
              <w:autoSpaceDE w:val="0"/>
              <w:autoSpaceDN w:val="0"/>
              <w:adjustRightInd w:val="0"/>
              <w:spacing w:after="240"/>
              <w:rPr>
                <w:sz w:val="20"/>
                <w:szCs w:val="20"/>
              </w:rPr>
            </w:pPr>
            <w:r w:rsidRPr="003750B8">
              <w:rPr>
                <w:sz w:val="20"/>
                <w:szCs w:val="20"/>
              </w:rPr>
              <w:t>International Opportunities Fund Top 10 Holdings as of Dec 31, 2011*</w:t>
            </w:r>
          </w:p>
        </w:tc>
        <w:tc>
          <w:tcPr>
            <w:tcW w:w="1080" w:type="dxa"/>
          </w:tcPr>
          <w:p w:rsidR="001E4E86" w:rsidRPr="003750B8" w:rsidRDefault="001E4E86" w:rsidP="008D0EE8">
            <w:pPr>
              <w:widowControl w:val="0"/>
              <w:autoSpaceDE w:val="0"/>
              <w:autoSpaceDN w:val="0"/>
              <w:adjustRightInd w:val="0"/>
              <w:spacing w:after="240"/>
              <w:jc w:val="center"/>
              <w:rPr>
                <w:sz w:val="20"/>
                <w:szCs w:val="20"/>
              </w:rPr>
            </w:pPr>
            <w:r w:rsidRPr="003750B8">
              <w:rPr>
                <w:sz w:val="20"/>
                <w:szCs w:val="20"/>
              </w:rPr>
              <w:t>Percent of Net Assets</w:t>
            </w:r>
          </w:p>
        </w:tc>
      </w:tr>
      <w:tr w:rsidR="001E4E86" w:rsidRPr="003750B8" w:rsidTr="008D0EE8">
        <w:trPr>
          <w:cantSplit/>
          <w:trHeight w:hRule="exact" w:val="288"/>
        </w:trPr>
        <w:tc>
          <w:tcPr>
            <w:tcW w:w="3240" w:type="dxa"/>
            <w:vAlign w:val="bottom"/>
          </w:tcPr>
          <w:p w:rsidR="001E4E86" w:rsidRPr="003750B8" w:rsidRDefault="001E4E86" w:rsidP="008D0EE8">
            <w:pPr>
              <w:widowControl w:val="0"/>
              <w:autoSpaceDE w:val="0"/>
              <w:autoSpaceDN w:val="0"/>
              <w:adjustRightInd w:val="0"/>
              <w:spacing w:after="240"/>
              <w:rPr>
                <w:color w:val="000000"/>
                <w:sz w:val="20"/>
                <w:szCs w:val="20"/>
              </w:rPr>
            </w:pPr>
            <w:r w:rsidRPr="003750B8">
              <w:rPr>
                <w:color w:val="000000"/>
                <w:sz w:val="20"/>
                <w:szCs w:val="20"/>
              </w:rPr>
              <w:t>L'Occitane International SA</w:t>
            </w:r>
          </w:p>
        </w:tc>
        <w:tc>
          <w:tcPr>
            <w:tcW w:w="1260" w:type="dxa"/>
            <w:vAlign w:val="bottom"/>
          </w:tcPr>
          <w:p w:rsidR="001E4E86" w:rsidRPr="003750B8" w:rsidRDefault="001E4E86" w:rsidP="008D0EE8">
            <w:pPr>
              <w:widowControl w:val="0"/>
              <w:autoSpaceDE w:val="0"/>
              <w:autoSpaceDN w:val="0"/>
              <w:adjustRightInd w:val="0"/>
              <w:spacing w:after="240"/>
              <w:jc w:val="center"/>
              <w:rPr>
                <w:color w:val="000000"/>
                <w:sz w:val="20"/>
                <w:szCs w:val="20"/>
              </w:rPr>
            </w:pPr>
            <w:r w:rsidRPr="003750B8">
              <w:rPr>
                <w:color w:val="000000"/>
                <w:sz w:val="20"/>
                <w:szCs w:val="20"/>
              </w:rPr>
              <w:t>2.13%</w:t>
            </w:r>
          </w:p>
        </w:tc>
        <w:tc>
          <w:tcPr>
            <w:tcW w:w="270" w:type="dxa"/>
          </w:tcPr>
          <w:p w:rsidR="001E4E86" w:rsidRPr="003750B8" w:rsidRDefault="001E4E86" w:rsidP="008D0EE8">
            <w:pPr>
              <w:widowControl w:val="0"/>
              <w:autoSpaceDE w:val="0"/>
              <w:autoSpaceDN w:val="0"/>
              <w:adjustRightInd w:val="0"/>
              <w:spacing w:after="240"/>
              <w:rPr>
                <w:sz w:val="20"/>
                <w:szCs w:val="20"/>
              </w:rPr>
            </w:pPr>
          </w:p>
        </w:tc>
        <w:tc>
          <w:tcPr>
            <w:tcW w:w="3690" w:type="dxa"/>
            <w:vAlign w:val="bottom"/>
          </w:tcPr>
          <w:p w:rsidR="001E4E86" w:rsidRPr="003750B8" w:rsidRDefault="001E4E86" w:rsidP="008D0EE8">
            <w:pPr>
              <w:widowControl w:val="0"/>
              <w:autoSpaceDE w:val="0"/>
              <w:autoSpaceDN w:val="0"/>
              <w:adjustRightInd w:val="0"/>
              <w:spacing w:after="240"/>
              <w:rPr>
                <w:color w:val="000000"/>
                <w:sz w:val="20"/>
                <w:szCs w:val="20"/>
              </w:rPr>
            </w:pPr>
            <w:r w:rsidRPr="003750B8">
              <w:rPr>
                <w:color w:val="000000"/>
                <w:sz w:val="20"/>
                <w:szCs w:val="20"/>
              </w:rPr>
              <w:t>Vitasoy International Holdings Ltd</w:t>
            </w:r>
          </w:p>
        </w:tc>
        <w:tc>
          <w:tcPr>
            <w:tcW w:w="1080" w:type="dxa"/>
            <w:vAlign w:val="bottom"/>
          </w:tcPr>
          <w:p w:rsidR="001E4E86" w:rsidRPr="003750B8" w:rsidRDefault="001E4E86" w:rsidP="008D0EE8">
            <w:pPr>
              <w:widowControl w:val="0"/>
              <w:autoSpaceDE w:val="0"/>
              <w:autoSpaceDN w:val="0"/>
              <w:adjustRightInd w:val="0"/>
              <w:spacing w:after="240"/>
              <w:jc w:val="center"/>
              <w:rPr>
                <w:color w:val="000000"/>
                <w:sz w:val="20"/>
                <w:szCs w:val="20"/>
              </w:rPr>
            </w:pPr>
            <w:r w:rsidRPr="003750B8">
              <w:rPr>
                <w:color w:val="000000"/>
                <w:sz w:val="20"/>
                <w:szCs w:val="20"/>
              </w:rPr>
              <w:t>2.60%</w:t>
            </w:r>
          </w:p>
        </w:tc>
      </w:tr>
      <w:tr w:rsidR="001E4E86" w:rsidRPr="003750B8" w:rsidTr="008D0EE8">
        <w:trPr>
          <w:cantSplit/>
          <w:trHeight w:hRule="exact" w:val="288"/>
        </w:trPr>
        <w:tc>
          <w:tcPr>
            <w:tcW w:w="3240" w:type="dxa"/>
            <w:vAlign w:val="bottom"/>
          </w:tcPr>
          <w:p w:rsidR="001E4E86" w:rsidRPr="003750B8" w:rsidRDefault="001E4E86" w:rsidP="008D0EE8">
            <w:pPr>
              <w:widowControl w:val="0"/>
              <w:autoSpaceDE w:val="0"/>
              <w:autoSpaceDN w:val="0"/>
              <w:adjustRightInd w:val="0"/>
              <w:spacing w:after="240"/>
              <w:rPr>
                <w:color w:val="000000"/>
                <w:sz w:val="20"/>
                <w:szCs w:val="20"/>
              </w:rPr>
            </w:pPr>
            <w:r w:rsidRPr="003750B8">
              <w:rPr>
                <w:color w:val="000000"/>
                <w:sz w:val="20"/>
                <w:szCs w:val="20"/>
              </w:rPr>
              <w:t>Vitasoy International Holdings Ltd</w:t>
            </w:r>
          </w:p>
        </w:tc>
        <w:tc>
          <w:tcPr>
            <w:tcW w:w="1260" w:type="dxa"/>
            <w:vAlign w:val="bottom"/>
          </w:tcPr>
          <w:p w:rsidR="001E4E86" w:rsidRPr="003750B8" w:rsidRDefault="001E4E86" w:rsidP="008D0EE8">
            <w:pPr>
              <w:widowControl w:val="0"/>
              <w:autoSpaceDE w:val="0"/>
              <w:autoSpaceDN w:val="0"/>
              <w:adjustRightInd w:val="0"/>
              <w:spacing w:after="240"/>
              <w:jc w:val="center"/>
              <w:rPr>
                <w:color w:val="000000"/>
                <w:sz w:val="20"/>
                <w:szCs w:val="20"/>
              </w:rPr>
            </w:pPr>
            <w:r w:rsidRPr="003750B8">
              <w:rPr>
                <w:color w:val="000000"/>
                <w:sz w:val="20"/>
                <w:szCs w:val="20"/>
              </w:rPr>
              <w:t>2.00%</w:t>
            </w:r>
          </w:p>
        </w:tc>
        <w:tc>
          <w:tcPr>
            <w:tcW w:w="270" w:type="dxa"/>
          </w:tcPr>
          <w:p w:rsidR="001E4E86" w:rsidRPr="003750B8" w:rsidRDefault="001E4E86" w:rsidP="008D0EE8">
            <w:pPr>
              <w:widowControl w:val="0"/>
              <w:autoSpaceDE w:val="0"/>
              <w:autoSpaceDN w:val="0"/>
              <w:adjustRightInd w:val="0"/>
              <w:spacing w:after="240"/>
              <w:rPr>
                <w:sz w:val="20"/>
                <w:szCs w:val="20"/>
              </w:rPr>
            </w:pPr>
          </w:p>
        </w:tc>
        <w:tc>
          <w:tcPr>
            <w:tcW w:w="3690" w:type="dxa"/>
            <w:vAlign w:val="bottom"/>
          </w:tcPr>
          <w:p w:rsidR="001E4E86" w:rsidRPr="003750B8" w:rsidRDefault="001E4E86" w:rsidP="008D0EE8">
            <w:pPr>
              <w:widowControl w:val="0"/>
              <w:autoSpaceDE w:val="0"/>
              <w:autoSpaceDN w:val="0"/>
              <w:adjustRightInd w:val="0"/>
              <w:spacing w:after="240"/>
              <w:rPr>
                <w:color w:val="000000"/>
                <w:sz w:val="20"/>
                <w:szCs w:val="20"/>
              </w:rPr>
            </w:pPr>
            <w:r w:rsidRPr="003750B8">
              <w:rPr>
                <w:color w:val="000000"/>
                <w:sz w:val="20"/>
                <w:szCs w:val="20"/>
              </w:rPr>
              <w:t>Wirecard AG</w:t>
            </w:r>
          </w:p>
        </w:tc>
        <w:tc>
          <w:tcPr>
            <w:tcW w:w="1080" w:type="dxa"/>
            <w:vAlign w:val="bottom"/>
          </w:tcPr>
          <w:p w:rsidR="001E4E86" w:rsidRPr="003750B8" w:rsidRDefault="001E4E86" w:rsidP="008D0EE8">
            <w:pPr>
              <w:widowControl w:val="0"/>
              <w:autoSpaceDE w:val="0"/>
              <w:autoSpaceDN w:val="0"/>
              <w:adjustRightInd w:val="0"/>
              <w:spacing w:after="240"/>
              <w:jc w:val="center"/>
              <w:rPr>
                <w:color w:val="000000"/>
                <w:sz w:val="20"/>
                <w:szCs w:val="20"/>
              </w:rPr>
            </w:pPr>
            <w:r w:rsidRPr="003750B8">
              <w:rPr>
                <w:color w:val="000000"/>
                <w:sz w:val="20"/>
                <w:szCs w:val="20"/>
              </w:rPr>
              <w:t>2.56%</w:t>
            </w:r>
          </w:p>
        </w:tc>
      </w:tr>
      <w:tr w:rsidR="001E4E86" w:rsidRPr="003750B8" w:rsidTr="008D0EE8">
        <w:trPr>
          <w:cantSplit/>
          <w:trHeight w:hRule="exact" w:val="288"/>
        </w:trPr>
        <w:tc>
          <w:tcPr>
            <w:tcW w:w="3240" w:type="dxa"/>
            <w:vAlign w:val="bottom"/>
          </w:tcPr>
          <w:p w:rsidR="001E4E86" w:rsidRPr="003750B8" w:rsidRDefault="001E4E86" w:rsidP="008D0EE8">
            <w:pPr>
              <w:widowControl w:val="0"/>
              <w:autoSpaceDE w:val="0"/>
              <w:autoSpaceDN w:val="0"/>
              <w:adjustRightInd w:val="0"/>
              <w:spacing w:after="240"/>
              <w:rPr>
                <w:color w:val="000000"/>
                <w:sz w:val="20"/>
                <w:szCs w:val="20"/>
              </w:rPr>
            </w:pPr>
            <w:r w:rsidRPr="003750B8">
              <w:rPr>
                <w:color w:val="000000"/>
                <w:sz w:val="20"/>
                <w:szCs w:val="20"/>
              </w:rPr>
              <w:t>Wirecard AG</w:t>
            </w:r>
          </w:p>
        </w:tc>
        <w:tc>
          <w:tcPr>
            <w:tcW w:w="1260" w:type="dxa"/>
            <w:vAlign w:val="bottom"/>
          </w:tcPr>
          <w:p w:rsidR="001E4E86" w:rsidRPr="003750B8" w:rsidRDefault="001E4E86" w:rsidP="008D0EE8">
            <w:pPr>
              <w:widowControl w:val="0"/>
              <w:autoSpaceDE w:val="0"/>
              <w:autoSpaceDN w:val="0"/>
              <w:adjustRightInd w:val="0"/>
              <w:spacing w:after="240"/>
              <w:jc w:val="center"/>
              <w:rPr>
                <w:color w:val="000000"/>
                <w:sz w:val="20"/>
                <w:szCs w:val="20"/>
              </w:rPr>
            </w:pPr>
            <w:r w:rsidRPr="003750B8">
              <w:rPr>
                <w:color w:val="000000"/>
                <w:sz w:val="20"/>
                <w:szCs w:val="20"/>
              </w:rPr>
              <w:t>1.96%</w:t>
            </w:r>
          </w:p>
        </w:tc>
        <w:tc>
          <w:tcPr>
            <w:tcW w:w="270" w:type="dxa"/>
          </w:tcPr>
          <w:p w:rsidR="001E4E86" w:rsidRPr="003750B8" w:rsidRDefault="001E4E86" w:rsidP="008D0EE8">
            <w:pPr>
              <w:widowControl w:val="0"/>
              <w:autoSpaceDE w:val="0"/>
              <w:autoSpaceDN w:val="0"/>
              <w:adjustRightInd w:val="0"/>
              <w:spacing w:after="240"/>
              <w:rPr>
                <w:sz w:val="20"/>
                <w:szCs w:val="20"/>
              </w:rPr>
            </w:pPr>
          </w:p>
        </w:tc>
        <w:tc>
          <w:tcPr>
            <w:tcW w:w="3690" w:type="dxa"/>
            <w:vAlign w:val="bottom"/>
          </w:tcPr>
          <w:p w:rsidR="001E4E86" w:rsidRPr="003750B8" w:rsidRDefault="001E4E86" w:rsidP="008D0EE8">
            <w:pPr>
              <w:widowControl w:val="0"/>
              <w:autoSpaceDE w:val="0"/>
              <w:autoSpaceDN w:val="0"/>
              <w:adjustRightInd w:val="0"/>
              <w:spacing w:after="240"/>
              <w:rPr>
                <w:color w:val="000000"/>
                <w:sz w:val="20"/>
                <w:szCs w:val="20"/>
              </w:rPr>
            </w:pPr>
            <w:r w:rsidRPr="003750B8">
              <w:rPr>
                <w:color w:val="000000"/>
                <w:sz w:val="20"/>
                <w:szCs w:val="20"/>
              </w:rPr>
              <w:t>Melexis NV</w:t>
            </w:r>
          </w:p>
        </w:tc>
        <w:tc>
          <w:tcPr>
            <w:tcW w:w="1080" w:type="dxa"/>
            <w:vAlign w:val="bottom"/>
          </w:tcPr>
          <w:p w:rsidR="001E4E86" w:rsidRPr="003750B8" w:rsidRDefault="001E4E86" w:rsidP="008D0EE8">
            <w:pPr>
              <w:widowControl w:val="0"/>
              <w:autoSpaceDE w:val="0"/>
              <w:autoSpaceDN w:val="0"/>
              <w:adjustRightInd w:val="0"/>
              <w:spacing w:after="240"/>
              <w:jc w:val="center"/>
              <w:rPr>
                <w:color w:val="000000"/>
                <w:sz w:val="20"/>
                <w:szCs w:val="20"/>
              </w:rPr>
            </w:pPr>
            <w:r w:rsidRPr="003750B8">
              <w:rPr>
                <w:color w:val="000000"/>
                <w:sz w:val="20"/>
                <w:szCs w:val="20"/>
              </w:rPr>
              <w:t>2.50%</w:t>
            </w:r>
          </w:p>
        </w:tc>
      </w:tr>
      <w:tr w:rsidR="001E4E86" w:rsidRPr="003750B8" w:rsidTr="008D0EE8">
        <w:trPr>
          <w:cantSplit/>
          <w:trHeight w:hRule="exact" w:val="288"/>
        </w:trPr>
        <w:tc>
          <w:tcPr>
            <w:tcW w:w="3240" w:type="dxa"/>
            <w:vAlign w:val="bottom"/>
          </w:tcPr>
          <w:p w:rsidR="001E4E86" w:rsidRPr="003750B8" w:rsidRDefault="001E4E86" w:rsidP="008D0EE8">
            <w:pPr>
              <w:widowControl w:val="0"/>
              <w:autoSpaceDE w:val="0"/>
              <w:autoSpaceDN w:val="0"/>
              <w:adjustRightInd w:val="0"/>
              <w:spacing w:after="240"/>
              <w:rPr>
                <w:color w:val="000000"/>
                <w:sz w:val="20"/>
                <w:szCs w:val="20"/>
              </w:rPr>
            </w:pPr>
            <w:r w:rsidRPr="003750B8">
              <w:rPr>
                <w:color w:val="000000"/>
                <w:sz w:val="20"/>
                <w:szCs w:val="20"/>
              </w:rPr>
              <w:t>Melexis NV</w:t>
            </w:r>
          </w:p>
        </w:tc>
        <w:tc>
          <w:tcPr>
            <w:tcW w:w="1260" w:type="dxa"/>
            <w:vAlign w:val="bottom"/>
          </w:tcPr>
          <w:p w:rsidR="001E4E86" w:rsidRPr="003750B8" w:rsidRDefault="001E4E86" w:rsidP="008D0EE8">
            <w:pPr>
              <w:widowControl w:val="0"/>
              <w:autoSpaceDE w:val="0"/>
              <w:autoSpaceDN w:val="0"/>
              <w:adjustRightInd w:val="0"/>
              <w:spacing w:after="240"/>
              <w:jc w:val="center"/>
              <w:rPr>
                <w:color w:val="000000"/>
                <w:sz w:val="20"/>
                <w:szCs w:val="20"/>
              </w:rPr>
            </w:pPr>
            <w:r w:rsidRPr="003750B8">
              <w:rPr>
                <w:color w:val="000000"/>
                <w:sz w:val="20"/>
                <w:szCs w:val="20"/>
              </w:rPr>
              <w:t>1.95%</w:t>
            </w:r>
          </w:p>
        </w:tc>
        <w:tc>
          <w:tcPr>
            <w:tcW w:w="270" w:type="dxa"/>
          </w:tcPr>
          <w:p w:rsidR="001E4E86" w:rsidRPr="003750B8" w:rsidRDefault="001E4E86" w:rsidP="008D0EE8">
            <w:pPr>
              <w:widowControl w:val="0"/>
              <w:autoSpaceDE w:val="0"/>
              <w:autoSpaceDN w:val="0"/>
              <w:adjustRightInd w:val="0"/>
              <w:spacing w:after="240"/>
              <w:rPr>
                <w:sz w:val="20"/>
                <w:szCs w:val="20"/>
              </w:rPr>
            </w:pPr>
          </w:p>
        </w:tc>
        <w:tc>
          <w:tcPr>
            <w:tcW w:w="3690" w:type="dxa"/>
            <w:vAlign w:val="bottom"/>
          </w:tcPr>
          <w:p w:rsidR="001E4E86" w:rsidRPr="003750B8" w:rsidRDefault="001E4E86" w:rsidP="008D0EE8">
            <w:pPr>
              <w:widowControl w:val="0"/>
              <w:autoSpaceDE w:val="0"/>
              <w:autoSpaceDN w:val="0"/>
              <w:adjustRightInd w:val="0"/>
              <w:spacing w:after="240"/>
              <w:rPr>
                <w:color w:val="000000"/>
                <w:sz w:val="20"/>
                <w:szCs w:val="20"/>
              </w:rPr>
            </w:pPr>
            <w:r w:rsidRPr="003750B8">
              <w:rPr>
                <w:color w:val="000000"/>
                <w:sz w:val="20"/>
                <w:szCs w:val="20"/>
              </w:rPr>
              <w:t>RPS Group PLC</w:t>
            </w:r>
          </w:p>
        </w:tc>
        <w:tc>
          <w:tcPr>
            <w:tcW w:w="1080" w:type="dxa"/>
            <w:vAlign w:val="bottom"/>
          </w:tcPr>
          <w:p w:rsidR="001E4E86" w:rsidRPr="003750B8" w:rsidRDefault="001E4E86" w:rsidP="008D0EE8">
            <w:pPr>
              <w:widowControl w:val="0"/>
              <w:autoSpaceDE w:val="0"/>
              <w:autoSpaceDN w:val="0"/>
              <w:adjustRightInd w:val="0"/>
              <w:spacing w:after="240"/>
              <w:jc w:val="center"/>
              <w:rPr>
                <w:color w:val="000000"/>
                <w:sz w:val="20"/>
                <w:szCs w:val="20"/>
              </w:rPr>
            </w:pPr>
            <w:r w:rsidRPr="003750B8">
              <w:rPr>
                <w:color w:val="000000"/>
                <w:sz w:val="20"/>
                <w:szCs w:val="20"/>
              </w:rPr>
              <w:t>2.49%</w:t>
            </w:r>
          </w:p>
        </w:tc>
      </w:tr>
      <w:tr w:rsidR="001E4E86" w:rsidRPr="003750B8" w:rsidTr="008D0EE8">
        <w:trPr>
          <w:cantSplit/>
          <w:trHeight w:hRule="exact" w:val="288"/>
        </w:trPr>
        <w:tc>
          <w:tcPr>
            <w:tcW w:w="3240" w:type="dxa"/>
            <w:vAlign w:val="bottom"/>
          </w:tcPr>
          <w:p w:rsidR="001E4E86" w:rsidRPr="003750B8" w:rsidRDefault="001E4E86" w:rsidP="008D0EE8">
            <w:pPr>
              <w:widowControl w:val="0"/>
              <w:autoSpaceDE w:val="0"/>
              <w:autoSpaceDN w:val="0"/>
              <w:adjustRightInd w:val="0"/>
              <w:spacing w:after="240"/>
              <w:rPr>
                <w:color w:val="000000"/>
                <w:sz w:val="20"/>
                <w:szCs w:val="20"/>
              </w:rPr>
            </w:pPr>
            <w:r w:rsidRPr="003750B8">
              <w:rPr>
                <w:color w:val="000000"/>
                <w:sz w:val="20"/>
                <w:szCs w:val="20"/>
              </w:rPr>
              <w:t>RPS Group PLC</w:t>
            </w:r>
          </w:p>
        </w:tc>
        <w:tc>
          <w:tcPr>
            <w:tcW w:w="1260" w:type="dxa"/>
            <w:vAlign w:val="bottom"/>
          </w:tcPr>
          <w:p w:rsidR="001E4E86" w:rsidRPr="003750B8" w:rsidRDefault="001E4E86" w:rsidP="008D0EE8">
            <w:pPr>
              <w:widowControl w:val="0"/>
              <w:autoSpaceDE w:val="0"/>
              <w:autoSpaceDN w:val="0"/>
              <w:adjustRightInd w:val="0"/>
              <w:spacing w:after="240"/>
              <w:jc w:val="center"/>
              <w:rPr>
                <w:color w:val="000000"/>
                <w:sz w:val="20"/>
                <w:szCs w:val="20"/>
              </w:rPr>
            </w:pPr>
            <w:r w:rsidRPr="003750B8">
              <w:rPr>
                <w:color w:val="000000"/>
                <w:sz w:val="20"/>
                <w:szCs w:val="20"/>
              </w:rPr>
              <w:t>1.50%</w:t>
            </w:r>
          </w:p>
        </w:tc>
        <w:tc>
          <w:tcPr>
            <w:tcW w:w="270" w:type="dxa"/>
          </w:tcPr>
          <w:p w:rsidR="001E4E86" w:rsidRPr="003750B8" w:rsidRDefault="001E4E86" w:rsidP="008D0EE8">
            <w:pPr>
              <w:widowControl w:val="0"/>
              <w:autoSpaceDE w:val="0"/>
              <w:autoSpaceDN w:val="0"/>
              <w:adjustRightInd w:val="0"/>
              <w:spacing w:after="240"/>
              <w:rPr>
                <w:sz w:val="20"/>
                <w:szCs w:val="20"/>
              </w:rPr>
            </w:pPr>
          </w:p>
        </w:tc>
        <w:tc>
          <w:tcPr>
            <w:tcW w:w="3690" w:type="dxa"/>
            <w:vAlign w:val="bottom"/>
          </w:tcPr>
          <w:p w:rsidR="001E4E86" w:rsidRPr="003750B8" w:rsidRDefault="001E4E86" w:rsidP="008D0EE8">
            <w:pPr>
              <w:widowControl w:val="0"/>
              <w:autoSpaceDE w:val="0"/>
              <w:autoSpaceDN w:val="0"/>
              <w:adjustRightInd w:val="0"/>
              <w:spacing w:after="240"/>
              <w:rPr>
                <w:color w:val="000000"/>
                <w:sz w:val="20"/>
                <w:szCs w:val="20"/>
              </w:rPr>
            </w:pPr>
            <w:r w:rsidRPr="003750B8">
              <w:rPr>
                <w:color w:val="000000"/>
                <w:sz w:val="20"/>
                <w:szCs w:val="20"/>
              </w:rPr>
              <w:t>Market Vectors India Small-Cap Index ETF</w:t>
            </w:r>
          </w:p>
        </w:tc>
        <w:tc>
          <w:tcPr>
            <w:tcW w:w="1080" w:type="dxa"/>
            <w:vAlign w:val="bottom"/>
          </w:tcPr>
          <w:p w:rsidR="001E4E86" w:rsidRPr="003750B8" w:rsidRDefault="001E4E86" w:rsidP="008D0EE8">
            <w:pPr>
              <w:widowControl w:val="0"/>
              <w:autoSpaceDE w:val="0"/>
              <w:autoSpaceDN w:val="0"/>
              <w:adjustRightInd w:val="0"/>
              <w:spacing w:after="240"/>
              <w:jc w:val="center"/>
              <w:rPr>
                <w:color w:val="000000"/>
                <w:sz w:val="20"/>
                <w:szCs w:val="20"/>
              </w:rPr>
            </w:pPr>
            <w:r w:rsidRPr="003750B8">
              <w:rPr>
                <w:color w:val="000000"/>
                <w:sz w:val="20"/>
                <w:szCs w:val="20"/>
              </w:rPr>
              <w:t>2.46%</w:t>
            </w:r>
          </w:p>
        </w:tc>
      </w:tr>
      <w:tr w:rsidR="001E4E86" w:rsidRPr="003750B8" w:rsidTr="008D0EE8">
        <w:trPr>
          <w:cantSplit/>
          <w:trHeight w:hRule="exact" w:val="288"/>
        </w:trPr>
        <w:tc>
          <w:tcPr>
            <w:tcW w:w="3240" w:type="dxa"/>
            <w:vAlign w:val="bottom"/>
          </w:tcPr>
          <w:p w:rsidR="001E4E86" w:rsidRPr="003750B8" w:rsidRDefault="001E4E86" w:rsidP="008D0EE8">
            <w:pPr>
              <w:widowControl w:val="0"/>
              <w:autoSpaceDE w:val="0"/>
              <w:autoSpaceDN w:val="0"/>
              <w:adjustRightInd w:val="0"/>
              <w:spacing w:after="240"/>
              <w:rPr>
                <w:color w:val="000000"/>
                <w:sz w:val="20"/>
                <w:szCs w:val="20"/>
              </w:rPr>
            </w:pPr>
            <w:r w:rsidRPr="003750B8">
              <w:rPr>
                <w:color w:val="000000"/>
                <w:sz w:val="20"/>
                <w:szCs w:val="20"/>
              </w:rPr>
              <w:t>Home Capital Group Inc</w:t>
            </w:r>
          </w:p>
        </w:tc>
        <w:tc>
          <w:tcPr>
            <w:tcW w:w="1260" w:type="dxa"/>
            <w:vAlign w:val="bottom"/>
          </w:tcPr>
          <w:p w:rsidR="001E4E86" w:rsidRPr="003750B8" w:rsidRDefault="001E4E86" w:rsidP="008D0EE8">
            <w:pPr>
              <w:widowControl w:val="0"/>
              <w:autoSpaceDE w:val="0"/>
              <w:autoSpaceDN w:val="0"/>
              <w:adjustRightInd w:val="0"/>
              <w:spacing w:after="240"/>
              <w:jc w:val="center"/>
              <w:rPr>
                <w:color w:val="000000"/>
                <w:sz w:val="20"/>
                <w:szCs w:val="20"/>
              </w:rPr>
            </w:pPr>
            <w:r w:rsidRPr="003750B8">
              <w:rPr>
                <w:color w:val="000000"/>
                <w:sz w:val="20"/>
                <w:szCs w:val="20"/>
              </w:rPr>
              <w:t>1.40%</w:t>
            </w:r>
          </w:p>
        </w:tc>
        <w:tc>
          <w:tcPr>
            <w:tcW w:w="270" w:type="dxa"/>
          </w:tcPr>
          <w:p w:rsidR="001E4E86" w:rsidRPr="003750B8" w:rsidRDefault="001E4E86" w:rsidP="008D0EE8">
            <w:pPr>
              <w:widowControl w:val="0"/>
              <w:autoSpaceDE w:val="0"/>
              <w:autoSpaceDN w:val="0"/>
              <w:adjustRightInd w:val="0"/>
              <w:spacing w:after="240"/>
              <w:rPr>
                <w:sz w:val="20"/>
                <w:szCs w:val="20"/>
              </w:rPr>
            </w:pPr>
          </w:p>
        </w:tc>
        <w:tc>
          <w:tcPr>
            <w:tcW w:w="3690" w:type="dxa"/>
            <w:vAlign w:val="bottom"/>
          </w:tcPr>
          <w:p w:rsidR="001E4E86" w:rsidRPr="003750B8" w:rsidRDefault="001E4E86" w:rsidP="008D0EE8">
            <w:pPr>
              <w:widowControl w:val="0"/>
              <w:autoSpaceDE w:val="0"/>
              <w:autoSpaceDN w:val="0"/>
              <w:adjustRightInd w:val="0"/>
              <w:spacing w:after="240"/>
              <w:rPr>
                <w:color w:val="000000"/>
                <w:sz w:val="20"/>
                <w:szCs w:val="20"/>
              </w:rPr>
            </w:pPr>
            <w:r w:rsidRPr="003750B8">
              <w:rPr>
                <w:color w:val="000000"/>
                <w:sz w:val="20"/>
                <w:szCs w:val="20"/>
              </w:rPr>
              <w:t>L'Occitane International SA</w:t>
            </w:r>
          </w:p>
        </w:tc>
        <w:tc>
          <w:tcPr>
            <w:tcW w:w="1080" w:type="dxa"/>
            <w:vAlign w:val="bottom"/>
          </w:tcPr>
          <w:p w:rsidR="001E4E86" w:rsidRPr="003750B8" w:rsidRDefault="001E4E86" w:rsidP="008D0EE8">
            <w:pPr>
              <w:widowControl w:val="0"/>
              <w:autoSpaceDE w:val="0"/>
              <w:autoSpaceDN w:val="0"/>
              <w:adjustRightInd w:val="0"/>
              <w:spacing w:after="240"/>
              <w:jc w:val="center"/>
              <w:rPr>
                <w:color w:val="000000"/>
                <w:sz w:val="20"/>
                <w:szCs w:val="20"/>
              </w:rPr>
            </w:pPr>
            <w:r w:rsidRPr="003750B8">
              <w:rPr>
                <w:color w:val="000000"/>
                <w:sz w:val="20"/>
                <w:szCs w:val="20"/>
              </w:rPr>
              <w:t>2.14%</w:t>
            </w:r>
          </w:p>
        </w:tc>
      </w:tr>
      <w:tr w:rsidR="001E4E86" w:rsidRPr="003750B8" w:rsidTr="008D0EE8">
        <w:trPr>
          <w:cantSplit/>
          <w:trHeight w:hRule="exact" w:val="288"/>
        </w:trPr>
        <w:tc>
          <w:tcPr>
            <w:tcW w:w="3240" w:type="dxa"/>
            <w:vAlign w:val="bottom"/>
          </w:tcPr>
          <w:p w:rsidR="001E4E86" w:rsidRPr="003750B8" w:rsidRDefault="001E4E86" w:rsidP="008D0EE8">
            <w:pPr>
              <w:widowControl w:val="0"/>
              <w:autoSpaceDE w:val="0"/>
              <w:autoSpaceDN w:val="0"/>
              <w:adjustRightInd w:val="0"/>
              <w:spacing w:after="240"/>
              <w:rPr>
                <w:color w:val="000000"/>
                <w:sz w:val="20"/>
                <w:szCs w:val="20"/>
              </w:rPr>
            </w:pPr>
            <w:r w:rsidRPr="003750B8">
              <w:rPr>
                <w:color w:val="000000"/>
                <w:sz w:val="20"/>
                <w:szCs w:val="20"/>
              </w:rPr>
              <w:t>Magellan Financial Group Ltd</w:t>
            </w:r>
          </w:p>
        </w:tc>
        <w:tc>
          <w:tcPr>
            <w:tcW w:w="1260" w:type="dxa"/>
            <w:vAlign w:val="bottom"/>
          </w:tcPr>
          <w:p w:rsidR="001E4E86" w:rsidRPr="003750B8" w:rsidRDefault="001E4E86" w:rsidP="008D0EE8">
            <w:pPr>
              <w:widowControl w:val="0"/>
              <w:autoSpaceDE w:val="0"/>
              <w:autoSpaceDN w:val="0"/>
              <w:adjustRightInd w:val="0"/>
              <w:spacing w:after="240"/>
              <w:jc w:val="center"/>
              <w:rPr>
                <w:color w:val="000000"/>
                <w:sz w:val="20"/>
                <w:szCs w:val="20"/>
              </w:rPr>
            </w:pPr>
            <w:r w:rsidRPr="003750B8">
              <w:rPr>
                <w:color w:val="000000"/>
                <w:sz w:val="20"/>
                <w:szCs w:val="20"/>
              </w:rPr>
              <w:t>1.38%</w:t>
            </w:r>
          </w:p>
        </w:tc>
        <w:tc>
          <w:tcPr>
            <w:tcW w:w="270" w:type="dxa"/>
          </w:tcPr>
          <w:p w:rsidR="001E4E86" w:rsidRPr="003750B8" w:rsidRDefault="001E4E86" w:rsidP="008D0EE8">
            <w:pPr>
              <w:widowControl w:val="0"/>
              <w:autoSpaceDE w:val="0"/>
              <w:autoSpaceDN w:val="0"/>
              <w:adjustRightInd w:val="0"/>
              <w:spacing w:after="240"/>
              <w:rPr>
                <w:sz w:val="20"/>
                <w:szCs w:val="20"/>
              </w:rPr>
            </w:pPr>
          </w:p>
        </w:tc>
        <w:tc>
          <w:tcPr>
            <w:tcW w:w="3690" w:type="dxa"/>
            <w:vAlign w:val="bottom"/>
          </w:tcPr>
          <w:p w:rsidR="001E4E86" w:rsidRPr="003750B8" w:rsidRDefault="001E4E86" w:rsidP="008D0EE8">
            <w:pPr>
              <w:widowControl w:val="0"/>
              <w:autoSpaceDE w:val="0"/>
              <w:autoSpaceDN w:val="0"/>
              <w:adjustRightInd w:val="0"/>
              <w:spacing w:after="240"/>
              <w:rPr>
                <w:color w:val="000000"/>
                <w:sz w:val="20"/>
                <w:szCs w:val="20"/>
              </w:rPr>
            </w:pPr>
            <w:r w:rsidRPr="003750B8">
              <w:rPr>
                <w:color w:val="000000"/>
                <w:sz w:val="20"/>
                <w:szCs w:val="20"/>
              </w:rPr>
              <w:t>Magellan Financial Group Ltd</w:t>
            </w:r>
          </w:p>
        </w:tc>
        <w:tc>
          <w:tcPr>
            <w:tcW w:w="1080" w:type="dxa"/>
            <w:vAlign w:val="bottom"/>
          </w:tcPr>
          <w:p w:rsidR="001E4E86" w:rsidRPr="003750B8" w:rsidRDefault="001E4E86" w:rsidP="008D0EE8">
            <w:pPr>
              <w:widowControl w:val="0"/>
              <w:autoSpaceDE w:val="0"/>
              <w:autoSpaceDN w:val="0"/>
              <w:adjustRightInd w:val="0"/>
              <w:spacing w:after="240"/>
              <w:jc w:val="center"/>
              <w:rPr>
                <w:color w:val="000000"/>
                <w:sz w:val="20"/>
                <w:szCs w:val="20"/>
              </w:rPr>
            </w:pPr>
            <w:r w:rsidRPr="003750B8">
              <w:rPr>
                <w:color w:val="000000"/>
                <w:sz w:val="20"/>
                <w:szCs w:val="20"/>
              </w:rPr>
              <w:t>2.04%</w:t>
            </w:r>
          </w:p>
        </w:tc>
      </w:tr>
      <w:tr w:rsidR="001E4E86" w:rsidRPr="003750B8" w:rsidTr="008D0EE8">
        <w:trPr>
          <w:cantSplit/>
          <w:trHeight w:hRule="exact" w:val="288"/>
        </w:trPr>
        <w:tc>
          <w:tcPr>
            <w:tcW w:w="3240" w:type="dxa"/>
            <w:vAlign w:val="bottom"/>
          </w:tcPr>
          <w:p w:rsidR="001E4E86" w:rsidRPr="003750B8" w:rsidRDefault="001E4E86" w:rsidP="008D0EE8">
            <w:pPr>
              <w:widowControl w:val="0"/>
              <w:autoSpaceDE w:val="0"/>
              <w:autoSpaceDN w:val="0"/>
              <w:adjustRightInd w:val="0"/>
              <w:spacing w:after="240"/>
              <w:rPr>
                <w:color w:val="000000"/>
                <w:sz w:val="20"/>
                <w:szCs w:val="20"/>
              </w:rPr>
            </w:pPr>
            <w:r w:rsidRPr="003750B8">
              <w:rPr>
                <w:color w:val="000000"/>
                <w:sz w:val="20"/>
                <w:szCs w:val="20"/>
              </w:rPr>
              <w:t>Bertrandt AG</w:t>
            </w:r>
          </w:p>
        </w:tc>
        <w:tc>
          <w:tcPr>
            <w:tcW w:w="1260" w:type="dxa"/>
            <w:vAlign w:val="bottom"/>
          </w:tcPr>
          <w:p w:rsidR="001E4E86" w:rsidRPr="003750B8" w:rsidRDefault="001E4E86" w:rsidP="008D0EE8">
            <w:pPr>
              <w:widowControl w:val="0"/>
              <w:autoSpaceDE w:val="0"/>
              <w:autoSpaceDN w:val="0"/>
              <w:adjustRightInd w:val="0"/>
              <w:spacing w:after="240"/>
              <w:jc w:val="center"/>
              <w:rPr>
                <w:color w:val="000000"/>
                <w:sz w:val="20"/>
                <w:szCs w:val="20"/>
              </w:rPr>
            </w:pPr>
            <w:r w:rsidRPr="003750B8">
              <w:rPr>
                <w:color w:val="000000"/>
                <w:sz w:val="20"/>
                <w:szCs w:val="20"/>
              </w:rPr>
              <w:t>1.32%</w:t>
            </w:r>
          </w:p>
        </w:tc>
        <w:tc>
          <w:tcPr>
            <w:tcW w:w="270" w:type="dxa"/>
          </w:tcPr>
          <w:p w:rsidR="001E4E86" w:rsidRPr="003750B8" w:rsidRDefault="001E4E86" w:rsidP="008D0EE8">
            <w:pPr>
              <w:widowControl w:val="0"/>
              <w:autoSpaceDE w:val="0"/>
              <w:autoSpaceDN w:val="0"/>
              <w:adjustRightInd w:val="0"/>
              <w:spacing w:after="240"/>
              <w:rPr>
                <w:sz w:val="20"/>
                <w:szCs w:val="20"/>
              </w:rPr>
            </w:pPr>
          </w:p>
        </w:tc>
        <w:tc>
          <w:tcPr>
            <w:tcW w:w="3690" w:type="dxa"/>
            <w:vAlign w:val="bottom"/>
          </w:tcPr>
          <w:p w:rsidR="001E4E86" w:rsidRPr="003750B8" w:rsidRDefault="001E4E86" w:rsidP="008D0EE8">
            <w:pPr>
              <w:widowControl w:val="0"/>
              <w:autoSpaceDE w:val="0"/>
              <w:autoSpaceDN w:val="0"/>
              <w:adjustRightInd w:val="0"/>
              <w:spacing w:after="240"/>
              <w:rPr>
                <w:color w:val="000000"/>
                <w:sz w:val="20"/>
                <w:szCs w:val="20"/>
              </w:rPr>
            </w:pPr>
            <w:r w:rsidRPr="003750B8">
              <w:rPr>
                <w:color w:val="000000"/>
                <w:sz w:val="20"/>
                <w:szCs w:val="20"/>
              </w:rPr>
              <w:t>Banco Daycoval SA</w:t>
            </w:r>
          </w:p>
        </w:tc>
        <w:tc>
          <w:tcPr>
            <w:tcW w:w="1080" w:type="dxa"/>
            <w:vAlign w:val="bottom"/>
          </w:tcPr>
          <w:p w:rsidR="001E4E86" w:rsidRPr="003750B8" w:rsidRDefault="001E4E86" w:rsidP="008D0EE8">
            <w:pPr>
              <w:widowControl w:val="0"/>
              <w:autoSpaceDE w:val="0"/>
              <w:autoSpaceDN w:val="0"/>
              <w:adjustRightInd w:val="0"/>
              <w:spacing w:after="240"/>
              <w:jc w:val="center"/>
              <w:rPr>
                <w:color w:val="000000"/>
                <w:sz w:val="20"/>
                <w:szCs w:val="20"/>
              </w:rPr>
            </w:pPr>
            <w:r w:rsidRPr="003750B8">
              <w:rPr>
                <w:color w:val="000000"/>
                <w:sz w:val="20"/>
                <w:szCs w:val="20"/>
              </w:rPr>
              <w:t>1.97%</w:t>
            </w:r>
          </w:p>
        </w:tc>
      </w:tr>
      <w:tr w:rsidR="001E4E86" w:rsidRPr="003750B8" w:rsidTr="008D0EE8">
        <w:trPr>
          <w:cantSplit/>
          <w:trHeight w:hRule="exact" w:val="288"/>
        </w:trPr>
        <w:tc>
          <w:tcPr>
            <w:tcW w:w="3240" w:type="dxa"/>
            <w:vAlign w:val="bottom"/>
          </w:tcPr>
          <w:p w:rsidR="001E4E86" w:rsidRPr="003750B8" w:rsidRDefault="001E4E86" w:rsidP="008D0EE8">
            <w:pPr>
              <w:widowControl w:val="0"/>
              <w:autoSpaceDE w:val="0"/>
              <w:autoSpaceDN w:val="0"/>
              <w:adjustRightInd w:val="0"/>
              <w:spacing w:after="240"/>
              <w:rPr>
                <w:color w:val="000000"/>
                <w:sz w:val="20"/>
                <w:szCs w:val="20"/>
              </w:rPr>
            </w:pPr>
            <w:r w:rsidRPr="003750B8">
              <w:rPr>
                <w:color w:val="000000"/>
                <w:sz w:val="20"/>
                <w:szCs w:val="20"/>
              </w:rPr>
              <w:t>Banco ABC Brasil SA</w:t>
            </w:r>
          </w:p>
        </w:tc>
        <w:tc>
          <w:tcPr>
            <w:tcW w:w="1260" w:type="dxa"/>
            <w:vAlign w:val="bottom"/>
          </w:tcPr>
          <w:p w:rsidR="001E4E86" w:rsidRPr="003750B8" w:rsidRDefault="001E4E86" w:rsidP="008D0EE8">
            <w:pPr>
              <w:widowControl w:val="0"/>
              <w:autoSpaceDE w:val="0"/>
              <w:autoSpaceDN w:val="0"/>
              <w:adjustRightInd w:val="0"/>
              <w:spacing w:after="240"/>
              <w:jc w:val="center"/>
              <w:rPr>
                <w:color w:val="000000"/>
                <w:sz w:val="20"/>
                <w:szCs w:val="20"/>
              </w:rPr>
            </w:pPr>
            <w:r w:rsidRPr="003750B8">
              <w:rPr>
                <w:color w:val="000000"/>
                <w:sz w:val="20"/>
                <w:szCs w:val="20"/>
              </w:rPr>
              <w:t>1.30%</w:t>
            </w:r>
          </w:p>
        </w:tc>
        <w:tc>
          <w:tcPr>
            <w:tcW w:w="270" w:type="dxa"/>
          </w:tcPr>
          <w:p w:rsidR="001E4E86" w:rsidRPr="003750B8" w:rsidRDefault="001E4E86" w:rsidP="008D0EE8">
            <w:pPr>
              <w:widowControl w:val="0"/>
              <w:autoSpaceDE w:val="0"/>
              <w:autoSpaceDN w:val="0"/>
              <w:adjustRightInd w:val="0"/>
              <w:spacing w:after="240"/>
              <w:rPr>
                <w:sz w:val="20"/>
                <w:szCs w:val="20"/>
              </w:rPr>
            </w:pPr>
          </w:p>
        </w:tc>
        <w:tc>
          <w:tcPr>
            <w:tcW w:w="3690" w:type="dxa"/>
            <w:vAlign w:val="bottom"/>
          </w:tcPr>
          <w:p w:rsidR="001E4E86" w:rsidRPr="003750B8" w:rsidRDefault="001E4E86" w:rsidP="008D0EE8">
            <w:pPr>
              <w:widowControl w:val="0"/>
              <w:autoSpaceDE w:val="0"/>
              <w:autoSpaceDN w:val="0"/>
              <w:adjustRightInd w:val="0"/>
              <w:spacing w:after="240"/>
              <w:rPr>
                <w:color w:val="000000"/>
                <w:sz w:val="20"/>
                <w:szCs w:val="20"/>
              </w:rPr>
            </w:pPr>
            <w:r w:rsidRPr="003750B8">
              <w:rPr>
                <w:color w:val="000000"/>
                <w:sz w:val="20"/>
                <w:szCs w:val="20"/>
              </w:rPr>
              <w:t>China Medical System Holdings Ltd</w:t>
            </w:r>
          </w:p>
        </w:tc>
        <w:tc>
          <w:tcPr>
            <w:tcW w:w="1080" w:type="dxa"/>
            <w:vAlign w:val="bottom"/>
          </w:tcPr>
          <w:p w:rsidR="001E4E86" w:rsidRPr="003750B8" w:rsidRDefault="001E4E86" w:rsidP="008D0EE8">
            <w:pPr>
              <w:widowControl w:val="0"/>
              <w:autoSpaceDE w:val="0"/>
              <w:autoSpaceDN w:val="0"/>
              <w:adjustRightInd w:val="0"/>
              <w:spacing w:after="240"/>
              <w:jc w:val="center"/>
              <w:rPr>
                <w:color w:val="000000"/>
                <w:sz w:val="20"/>
                <w:szCs w:val="20"/>
              </w:rPr>
            </w:pPr>
            <w:r w:rsidRPr="003750B8">
              <w:rPr>
                <w:color w:val="000000"/>
                <w:sz w:val="20"/>
                <w:szCs w:val="20"/>
              </w:rPr>
              <w:t>1.76%</w:t>
            </w:r>
          </w:p>
        </w:tc>
      </w:tr>
      <w:tr w:rsidR="001E4E86" w:rsidRPr="003750B8" w:rsidTr="008D0EE8">
        <w:trPr>
          <w:cantSplit/>
          <w:trHeight w:hRule="exact" w:val="288"/>
        </w:trPr>
        <w:tc>
          <w:tcPr>
            <w:tcW w:w="3240" w:type="dxa"/>
            <w:vAlign w:val="bottom"/>
          </w:tcPr>
          <w:p w:rsidR="001E4E86" w:rsidRPr="003750B8" w:rsidRDefault="001E4E86" w:rsidP="008D0EE8">
            <w:pPr>
              <w:widowControl w:val="0"/>
              <w:autoSpaceDE w:val="0"/>
              <w:autoSpaceDN w:val="0"/>
              <w:adjustRightInd w:val="0"/>
              <w:spacing w:after="240"/>
              <w:rPr>
                <w:color w:val="000000"/>
                <w:sz w:val="20"/>
                <w:szCs w:val="20"/>
              </w:rPr>
            </w:pPr>
            <w:r w:rsidRPr="003750B8">
              <w:rPr>
                <w:color w:val="000000"/>
                <w:sz w:val="20"/>
                <w:szCs w:val="20"/>
              </w:rPr>
              <w:t>China Medical System Holdings Ltd</w:t>
            </w:r>
          </w:p>
        </w:tc>
        <w:tc>
          <w:tcPr>
            <w:tcW w:w="1260" w:type="dxa"/>
            <w:vAlign w:val="bottom"/>
          </w:tcPr>
          <w:p w:rsidR="001E4E86" w:rsidRPr="003750B8" w:rsidRDefault="001E4E86" w:rsidP="008D0EE8">
            <w:pPr>
              <w:widowControl w:val="0"/>
              <w:autoSpaceDE w:val="0"/>
              <w:autoSpaceDN w:val="0"/>
              <w:adjustRightInd w:val="0"/>
              <w:spacing w:after="240"/>
              <w:jc w:val="center"/>
              <w:rPr>
                <w:color w:val="000000"/>
                <w:sz w:val="20"/>
                <w:szCs w:val="20"/>
              </w:rPr>
            </w:pPr>
            <w:r w:rsidRPr="003750B8">
              <w:rPr>
                <w:color w:val="000000"/>
                <w:sz w:val="20"/>
                <w:szCs w:val="20"/>
              </w:rPr>
              <w:t>1.28%</w:t>
            </w:r>
          </w:p>
        </w:tc>
        <w:tc>
          <w:tcPr>
            <w:tcW w:w="270" w:type="dxa"/>
          </w:tcPr>
          <w:p w:rsidR="001E4E86" w:rsidRPr="003750B8" w:rsidRDefault="001E4E86" w:rsidP="008D0EE8">
            <w:pPr>
              <w:widowControl w:val="0"/>
              <w:autoSpaceDE w:val="0"/>
              <w:autoSpaceDN w:val="0"/>
              <w:adjustRightInd w:val="0"/>
              <w:spacing w:after="240"/>
              <w:rPr>
                <w:sz w:val="20"/>
                <w:szCs w:val="20"/>
              </w:rPr>
            </w:pPr>
          </w:p>
        </w:tc>
        <w:tc>
          <w:tcPr>
            <w:tcW w:w="3690" w:type="dxa"/>
            <w:vAlign w:val="bottom"/>
          </w:tcPr>
          <w:p w:rsidR="001E4E86" w:rsidRPr="003750B8" w:rsidRDefault="001E4E86" w:rsidP="008D0EE8">
            <w:pPr>
              <w:widowControl w:val="0"/>
              <w:autoSpaceDE w:val="0"/>
              <w:autoSpaceDN w:val="0"/>
              <w:adjustRightInd w:val="0"/>
              <w:spacing w:after="240"/>
              <w:rPr>
                <w:color w:val="000000"/>
                <w:sz w:val="20"/>
                <w:szCs w:val="20"/>
              </w:rPr>
            </w:pPr>
            <w:r w:rsidRPr="003750B8">
              <w:rPr>
                <w:color w:val="000000"/>
                <w:sz w:val="20"/>
                <w:szCs w:val="20"/>
              </w:rPr>
              <w:t>Home Capital Group Inc</w:t>
            </w:r>
          </w:p>
        </w:tc>
        <w:tc>
          <w:tcPr>
            <w:tcW w:w="1080" w:type="dxa"/>
            <w:vAlign w:val="bottom"/>
          </w:tcPr>
          <w:p w:rsidR="001E4E86" w:rsidRPr="003750B8" w:rsidRDefault="001E4E86" w:rsidP="008D0EE8">
            <w:pPr>
              <w:widowControl w:val="0"/>
              <w:autoSpaceDE w:val="0"/>
              <w:autoSpaceDN w:val="0"/>
              <w:adjustRightInd w:val="0"/>
              <w:spacing w:after="240"/>
              <w:jc w:val="center"/>
              <w:rPr>
                <w:color w:val="000000"/>
                <w:sz w:val="20"/>
                <w:szCs w:val="20"/>
              </w:rPr>
            </w:pPr>
            <w:r w:rsidRPr="003750B8">
              <w:rPr>
                <w:color w:val="000000"/>
                <w:sz w:val="20"/>
                <w:szCs w:val="20"/>
              </w:rPr>
              <w:t>1.73%</w:t>
            </w:r>
          </w:p>
        </w:tc>
      </w:tr>
      <w:tr w:rsidR="001E4E86" w:rsidRPr="003750B8" w:rsidTr="008D0EE8">
        <w:trPr>
          <w:cantSplit/>
          <w:trHeight w:hRule="exact" w:val="288"/>
        </w:trPr>
        <w:tc>
          <w:tcPr>
            <w:tcW w:w="3240" w:type="dxa"/>
          </w:tcPr>
          <w:p w:rsidR="001E4E86" w:rsidRPr="003750B8" w:rsidRDefault="001E4E86" w:rsidP="008D0EE8">
            <w:pPr>
              <w:widowControl w:val="0"/>
              <w:autoSpaceDE w:val="0"/>
              <w:autoSpaceDN w:val="0"/>
              <w:adjustRightInd w:val="0"/>
              <w:spacing w:after="240"/>
              <w:jc w:val="right"/>
              <w:rPr>
                <w:bCs/>
                <w:sz w:val="20"/>
                <w:szCs w:val="20"/>
              </w:rPr>
            </w:pPr>
            <w:r w:rsidRPr="003750B8">
              <w:rPr>
                <w:bCs/>
                <w:sz w:val="20"/>
                <w:szCs w:val="20"/>
              </w:rPr>
              <w:t>Total</w:t>
            </w:r>
          </w:p>
        </w:tc>
        <w:tc>
          <w:tcPr>
            <w:tcW w:w="1260" w:type="dxa"/>
            <w:vAlign w:val="center"/>
          </w:tcPr>
          <w:p w:rsidR="001E4E86" w:rsidRPr="003750B8" w:rsidRDefault="001E4E86" w:rsidP="008D0EE8">
            <w:pPr>
              <w:widowControl w:val="0"/>
              <w:autoSpaceDE w:val="0"/>
              <w:autoSpaceDN w:val="0"/>
              <w:adjustRightInd w:val="0"/>
              <w:spacing w:after="240"/>
              <w:jc w:val="center"/>
              <w:rPr>
                <w:sz w:val="20"/>
                <w:szCs w:val="20"/>
              </w:rPr>
            </w:pPr>
            <w:r w:rsidRPr="003750B8">
              <w:rPr>
                <w:sz w:val="20"/>
                <w:szCs w:val="20"/>
              </w:rPr>
              <w:t>16.2%</w:t>
            </w:r>
          </w:p>
        </w:tc>
        <w:tc>
          <w:tcPr>
            <w:tcW w:w="270" w:type="dxa"/>
          </w:tcPr>
          <w:p w:rsidR="001E4E86" w:rsidRPr="003750B8" w:rsidRDefault="001E4E86" w:rsidP="008D0EE8">
            <w:pPr>
              <w:widowControl w:val="0"/>
              <w:autoSpaceDE w:val="0"/>
              <w:autoSpaceDN w:val="0"/>
              <w:adjustRightInd w:val="0"/>
              <w:spacing w:after="240"/>
              <w:rPr>
                <w:sz w:val="20"/>
                <w:szCs w:val="20"/>
              </w:rPr>
            </w:pPr>
          </w:p>
        </w:tc>
        <w:tc>
          <w:tcPr>
            <w:tcW w:w="3690" w:type="dxa"/>
          </w:tcPr>
          <w:p w:rsidR="001E4E86" w:rsidRPr="003750B8" w:rsidRDefault="001E4E86" w:rsidP="008D0EE8">
            <w:pPr>
              <w:widowControl w:val="0"/>
              <w:autoSpaceDE w:val="0"/>
              <w:autoSpaceDN w:val="0"/>
              <w:adjustRightInd w:val="0"/>
              <w:spacing w:after="240"/>
              <w:jc w:val="right"/>
              <w:rPr>
                <w:sz w:val="20"/>
                <w:szCs w:val="20"/>
              </w:rPr>
            </w:pPr>
            <w:r w:rsidRPr="003750B8">
              <w:rPr>
                <w:bCs/>
                <w:sz w:val="20"/>
                <w:szCs w:val="20"/>
              </w:rPr>
              <w:t>Total</w:t>
            </w:r>
          </w:p>
        </w:tc>
        <w:tc>
          <w:tcPr>
            <w:tcW w:w="1080" w:type="dxa"/>
            <w:vAlign w:val="bottom"/>
          </w:tcPr>
          <w:p w:rsidR="001E4E86" w:rsidRPr="003750B8" w:rsidRDefault="001E4E86" w:rsidP="008D0EE8">
            <w:pPr>
              <w:widowControl w:val="0"/>
              <w:autoSpaceDE w:val="0"/>
              <w:autoSpaceDN w:val="0"/>
              <w:adjustRightInd w:val="0"/>
              <w:spacing w:after="240"/>
              <w:jc w:val="center"/>
              <w:rPr>
                <w:sz w:val="20"/>
                <w:szCs w:val="20"/>
              </w:rPr>
            </w:pPr>
            <w:r w:rsidRPr="003750B8">
              <w:rPr>
                <w:sz w:val="20"/>
                <w:szCs w:val="20"/>
              </w:rPr>
              <w:t>22.3%</w:t>
            </w:r>
          </w:p>
        </w:tc>
      </w:tr>
    </w:tbl>
    <w:p w:rsidR="001E4E86" w:rsidRPr="003750B8" w:rsidRDefault="001E4E86" w:rsidP="00526895">
      <w:pPr>
        <w:widowControl w:val="0"/>
        <w:autoSpaceDE w:val="0"/>
        <w:autoSpaceDN w:val="0"/>
        <w:adjustRightInd w:val="0"/>
        <w:spacing w:after="240"/>
        <w:ind w:left="360"/>
        <w:rPr>
          <w:i/>
          <w:iCs/>
          <w:sz w:val="20"/>
          <w:szCs w:val="20"/>
        </w:rPr>
      </w:pPr>
      <w:r w:rsidRPr="003750B8">
        <w:rPr>
          <w:i/>
          <w:iCs/>
          <w:sz w:val="20"/>
          <w:szCs w:val="20"/>
        </w:rPr>
        <w:t>*- Portfolio holdings are subject to change at any time. References to specific securities should not be construed as recommendations by the Fund or its Advisor.  Current and future holdings are subject to risk.</w:t>
      </w:r>
    </w:p>
    <w:p w:rsidR="001E4E86" w:rsidRPr="003750B8" w:rsidRDefault="001E4E86" w:rsidP="00D27751">
      <w:pPr>
        <w:widowControl w:val="0"/>
        <w:autoSpaceDE w:val="0"/>
        <w:autoSpaceDN w:val="0"/>
        <w:adjustRightInd w:val="0"/>
        <w:spacing w:after="240"/>
        <w:rPr>
          <w:i/>
          <w:iCs/>
          <w:sz w:val="20"/>
          <w:szCs w:val="20"/>
        </w:rPr>
      </w:pPr>
      <w:r w:rsidRPr="003750B8">
        <w:rPr>
          <w:i/>
          <w:iCs/>
          <w:sz w:val="20"/>
          <w:szCs w:val="20"/>
        </w:rPr>
        <w:t>Grandeur Peak Funds are distributed by ALPS Distributors, Inc.</w:t>
      </w:r>
    </w:p>
    <w:p w:rsidR="001E4E86" w:rsidRPr="003750B8" w:rsidRDefault="001E4E86" w:rsidP="00D27751">
      <w:pPr>
        <w:pStyle w:val="EndnoteText"/>
        <w:rPr>
          <w:sz w:val="16"/>
          <w:szCs w:val="16"/>
        </w:rPr>
      </w:pPr>
      <w:r w:rsidRPr="003750B8">
        <w:rPr>
          <w:bCs/>
          <w:i/>
          <w:iCs/>
          <w:sz w:val="16"/>
          <w:szCs w:val="16"/>
        </w:rPr>
        <w:t>GPG000147</w:t>
      </w:r>
      <w:r>
        <w:rPr>
          <w:bCs/>
          <w:i/>
          <w:iCs/>
          <w:sz w:val="16"/>
          <w:szCs w:val="16"/>
        </w:rPr>
        <w:t xml:space="preserve"> </w:t>
      </w:r>
      <w:r>
        <w:rPr>
          <w:i/>
          <w:iCs/>
          <w:sz w:val="16"/>
          <w:szCs w:val="16"/>
        </w:rPr>
        <w:t xml:space="preserve"> 7/31</w:t>
      </w:r>
      <w:r w:rsidRPr="003750B8">
        <w:rPr>
          <w:i/>
          <w:iCs/>
          <w:sz w:val="16"/>
          <w:szCs w:val="16"/>
        </w:rPr>
        <w:t>/</w:t>
      </w:r>
      <w:r>
        <w:rPr>
          <w:i/>
          <w:iCs/>
          <w:sz w:val="16"/>
          <w:szCs w:val="16"/>
        </w:rPr>
        <w:t>20</w:t>
      </w:r>
      <w:r w:rsidRPr="003750B8">
        <w:rPr>
          <w:i/>
          <w:iCs/>
          <w:sz w:val="16"/>
          <w:szCs w:val="16"/>
        </w:rPr>
        <w:t>12</w:t>
      </w:r>
    </w:p>
    <w:p w:rsidR="001E4E86" w:rsidRPr="003750B8" w:rsidRDefault="001E4E86">
      <w:pPr>
        <w:pStyle w:val="EndnoteText"/>
        <w:rPr>
          <w:sz w:val="20"/>
          <w:szCs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86" w:rsidRDefault="001E4E86" w:rsidP="003D33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E4E86" w:rsidRDefault="001E4E86" w:rsidP="003D338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86" w:rsidRDefault="001E4E86" w:rsidP="003D33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F6738">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F6738">
      <w:rPr>
        <w:rStyle w:val="PageNumber"/>
        <w:noProof/>
      </w:rPr>
      <w:t>9</w:t>
    </w:r>
    <w:r>
      <w:rPr>
        <w:rStyle w:val="PageNumber"/>
      </w:rPr>
      <w:fldChar w:fldCharType="end"/>
    </w:r>
  </w:p>
  <w:p w:rsidR="001E4E86" w:rsidRPr="00921F8D" w:rsidRDefault="001E4E86" w:rsidP="003D338C">
    <w:pPr>
      <w:pStyle w:val="Footer"/>
      <w:ind w:right="360"/>
      <w:jc w:val="center"/>
      <w:rPr>
        <w:rFonts w:ascii="Garamond" w:hAnsi="Garamond"/>
        <w:b/>
        <w:bCs/>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299" w:rsidRDefault="00AB6299">
      <w:r>
        <w:separator/>
      </w:r>
    </w:p>
  </w:footnote>
  <w:footnote w:type="continuationSeparator" w:id="0">
    <w:p w:rsidR="00AB6299" w:rsidRDefault="00AB6299">
      <w:r>
        <w:continuationSeparator/>
      </w:r>
    </w:p>
  </w:footnote>
  <w:footnote w:id="1">
    <w:p w:rsidR="001E4E86" w:rsidRPr="00BA6445" w:rsidRDefault="001E4E86">
      <w:pPr>
        <w:pStyle w:val="FootnoteText"/>
      </w:pPr>
      <w:r w:rsidRPr="00BA6445">
        <w:rPr>
          <w:rStyle w:val="FootnoteReference"/>
          <w:sz w:val="32"/>
        </w:rPr>
        <w:sym w:font="Symbol" w:char="F02A"/>
      </w:r>
      <w:r w:rsidRPr="00BA6445">
        <w:t xml:space="preserve"> </w:t>
      </w:r>
      <w:r w:rsidRPr="00BA6445">
        <w:rPr>
          <w:i/>
          <w:sz w:val="20"/>
        </w:rPr>
        <w:t>Inception of the Grandeur Peak Mutual Funds is October 17, 2011</w:t>
      </w:r>
    </w:p>
  </w:footnote>
  <w:footnote w:id="2">
    <w:p w:rsidR="001E4E86" w:rsidRDefault="001E4E86">
      <w:pPr>
        <w:pStyle w:val="FootnoteText"/>
      </w:pPr>
      <w:r>
        <w:rPr>
          <w:rStyle w:val="FootnoteReference"/>
        </w:rPr>
        <w:footnoteRef/>
      </w:r>
      <w:r>
        <w:t xml:space="preserve">  </w:t>
      </w:r>
      <w:r w:rsidRPr="00BA6445">
        <w:rPr>
          <w:i/>
          <w:sz w:val="20"/>
        </w:rPr>
        <w:t>A statistical measure of how much variation or dispersion exists from the average</w:t>
      </w:r>
      <w:r>
        <w:rPr>
          <w:i/>
          <w:sz w:val="20"/>
        </w:rPr>
        <w:t>.</w:t>
      </w:r>
    </w:p>
  </w:footnote>
  <w:footnote w:id="3">
    <w:p w:rsidR="001E4E86" w:rsidRPr="00BA6445" w:rsidRDefault="001E4E86" w:rsidP="00AB210B">
      <w:pPr>
        <w:pStyle w:val="FootnoteText"/>
        <w:rPr>
          <w:i/>
          <w:sz w:val="20"/>
        </w:rPr>
      </w:pPr>
      <w:r w:rsidRPr="00BA6445">
        <w:rPr>
          <w:rStyle w:val="FootnoteReference"/>
        </w:rPr>
        <w:footnoteRef/>
      </w:r>
      <w:r w:rsidRPr="00BA6445">
        <w:t xml:space="preserve"> </w:t>
      </w:r>
      <w:r>
        <w:t xml:space="preserve"> </w:t>
      </w:r>
      <w:r w:rsidRPr="00BA6445">
        <w:rPr>
          <w:i/>
          <w:sz w:val="20"/>
        </w:rPr>
        <w:t xml:space="preserve">Beta is another statistical measure of risk that is calculated as the covariance of an asset or portfolio to the market </w:t>
      </w:r>
      <w:r>
        <w:rPr>
          <w:i/>
          <w:sz w:val="20"/>
        </w:rPr>
        <w:t>(</w:t>
      </w:r>
      <w:r w:rsidRPr="00BA6445">
        <w:rPr>
          <w:i/>
          <w:sz w:val="20"/>
        </w:rPr>
        <w:t>or benchmark</w:t>
      </w:r>
      <w:r>
        <w:rPr>
          <w:i/>
          <w:sz w:val="20"/>
        </w:rPr>
        <w:t>)</w:t>
      </w:r>
      <w:r w:rsidRPr="00BA6445">
        <w:rPr>
          <w:i/>
          <w:sz w:val="20"/>
        </w:rPr>
        <w:t xml:space="preserve"> divided by the variance of the market </w:t>
      </w:r>
      <w:r>
        <w:rPr>
          <w:i/>
          <w:sz w:val="20"/>
        </w:rPr>
        <w:t>(</w:t>
      </w:r>
      <w:r w:rsidRPr="00BA6445">
        <w:rPr>
          <w:i/>
          <w:sz w:val="20"/>
        </w:rPr>
        <w:t>or benchmark</w:t>
      </w:r>
      <w:r>
        <w:rPr>
          <w:i/>
          <w:sz w:val="20"/>
        </w:rPr>
        <w:t>)</w:t>
      </w:r>
      <w:r w:rsidRPr="00BA6445">
        <w:rPr>
          <w:i/>
          <w:sz w:val="20"/>
        </w:rPr>
        <w:t>.</w:t>
      </w:r>
    </w:p>
  </w:footnote>
  <w:footnote w:id="4">
    <w:p w:rsidR="001E4E86" w:rsidRPr="00BA6445" w:rsidRDefault="001E4E86">
      <w:pPr>
        <w:pStyle w:val="FootnoteText"/>
        <w:rPr>
          <w:i/>
          <w:sz w:val="20"/>
          <w:szCs w:val="20"/>
        </w:rPr>
      </w:pPr>
      <w:r w:rsidRPr="00BA6445">
        <w:rPr>
          <w:rStyle w:val="FootnoteReference"/>
        </w:rPr>
        <w:footnoteRef/>
      </w:r>
      <w:r w:rsidRPr="00BA6445">
        <w:t xml:space="preserve"> </w:t>
      </w:r>
      <w:r>
        <w:t xml:space="preserve"> </w:t>
      </w:r>
      <w:r w:rsidRPr="00BA6445">
        <w:rPr>
          <w:i/>
          <w:sz w:val="20"/>
        </w:rPr>
        <w:t>VaR is a mathematical calculation so complicated that one almost needs an advanced degree in math or statistics to understand it (just ask the folks at AIG).  Basically the concept is that for a given portfolio or asset, and using assumptions that relate to normal probability distributions, VaR is the maximum loss not exceeded with a given probability defined as the confidence level, over a given time horizon.  VaR does not give any information about the severity of loss once the threshold is exceeded (the folks at AIG found that out the hard way).</w:t>
      </w:r>
    </w:p>
  </w:footnote>
  <w:footnote w:id="5">
    <w:p w:rsidR="001E4E86" w:rsidRPr="00BA6445" w:rsidRDefault="001E4E86">
      <w:pPr>
        <w:pStyle w:val="FootnoteText"/>
      </w:pPr>
      <w:r w:rsidRPr="00BA6445">
        <w:rPr>
          <w:rStyle w:val="FootnoteReference"/>
        </w:rPr>
        <w:footnoteRef/>
      </w:r>
      <w:r w:rsidRPr="00BA6445">
        <w:t xml:space="preserve">  </w:t>
      </w:r>
      <w:r w:rsidRPr="00BA6445">
        <w:rPr>
          <w:i/>
          <w:sz w:val="20"/>
        </w:rPr>
        <w:t xml:space="preserve">That is, we think we’re buying stocks at </w:t>
      </w:r>
      <w:r>
        <w:rPr>
          <w:i/>
          <w:sz w:val="20"/>
        </w:rPr>
        <w:t xml:space="preserve">relatively </w:t>
      </w:r>
      <w:r w:rsidRPr="00BA6445">
        <w:rPr>
          <w:i/>
          <w:sz w:val="20"/>
        </w:rPr>
        <w:t>low P/E multiples and that over time the P/E</w:t>
      </w:r>
      <w:r>
        <w:rPr>
          <w:i/>
          <w:sz w:val="20"/>
        </w:rPr>
        <w:t>’</w:t>
      </w:r>
      <w:r w:rsidRPr="00BA6445">
        <w:rPr>
          <w:i/>
          <w:sz w:val="20"/>
        </w:rPr>
        <w:t>s will grow higher (expand).  The expansion of the multiple will have the effect of driving the stock price higher.</w:t>
      </w:r>
    </w:p>
  </w:footnote>
  <w:footnote w:id="6">
    <w:p w:rsidR="001E4E86" w:rsidRPr="00BA6445" w:rsidRDefault="001E4E86">
      <w:pPr>
        <w:pStyle w:val="FootnoteText"/>
        <w:rPr>
          <w:b/>
        </w:rPr>
      </w:pPr>
      <w:r w:rsidRPr="00BA6445">
        <w:rPr>
          <w:rStyle w:val="FootnoteReference"/>
          <w:color w:val="FFFFFF" w:themeColor="background1"/>
        </w:rPr>
        <w:footnoteRef/>
      </w:r>
      <w:r w:rsidRPr="00BA6445">
        <w:rPr>
          <w:color w:val="FFFFFF" w:themeColor="background1"/>
        </w:rPr>
        <w:t xml:space="preserve"> </w:t>
      </w:r>
      <w:r w:rsidRPr="00BA6445">
        <w:rPr>
          <w:b/>
          <w:i/>
          <w:sz w:val="20"/>
        </w:rPr>
        <w:t>Past performance does not guarantee future results.</w:t>
      </w:r>
    </w:p>
  </w:footnote>
  <w:footnote w:id="7">
    <w:p w:rsidR="001E4E86" w:rsidRPr="00BA6445" w:rsidRDefault="001E4E86" w:rsidP="001B17C0">
      <w:pPr>
        <w:pStyle w:val="FootnoteText"/>
        <w:rPr>
          <w:b/>
        </w:rPr>
      </w:pPr>
      <w:r w:rsidRPr="00BA6445">
        <w:rPr>
          <w:rStyle w:val="FootnoteReference"/>
          <w:color w:val="FFFFFF" w:themeColor="background1"/>
        </w:rPr>
        <w:footnoteRef/>
      </w:r>
      <w:r w:rsidRPr="00BA6445">
        <w:rPr>
          <w:color w:val="FFFFFF" w:themeColor="background1"/>
        </w:rPr>
        <w:t xml:space="preserve"> </w:t>
      </w:r>
      <w:r w:rsidRPr="00BA6445">
        <w:rPr>
          <w:b/>
          <w:i/>
          <w:sz w:val="20"/>
        </w:rPr>
        <w:t>Past performance does not guarantee future results.</w:t>
      </w:r>
    </w:p>
  </w:footnote>
  <w:footnote w:id="8">
    <w:p w:rsidR="001E4E86" w:rsidRDefault="001E4E86">
      <w:pPr>
        <w:pStyle w:val="FootnoteText"/>
      </w:pPr>
      <w:r>
        <w:rPr>
          <w:rStyle w:val="FootnoteReference"/>
        </w:rPr>
        <w:footnoteRef/>
      </w:r>
      <w:r>
        <w:t xml:space="preserve">  </w:t>
      </w:r>
      <w:r w:rsidR="00A70D2B">
        <w:rPr>
          <w:i/>
          <w:sz w:val="20"/>
        </w:rPr>
        <w:t>Mark Siddoway and Eric Huefner are</w:t>
      </w:r>
      <w:r w:rsidRPr="00C22546">
        <w:rPr>
          <w:i/>
          <w:sz w:val="20"/>
        </w:rPr>
        <w:t xml:space="preserve"> registered representative of ALPS Distributors, Inc.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86" w:rsidRDefault="001E4E86" w:rsidP="00151F1B">
    <w:pPr>
      <w:pStyle w:val="Header"/>
      <w:tabs>
        <w:tab w:val="left" w:pos="223"/>
      </w:tabs>
      <w:jc w:val="right"/>
      <w:rPr>
        <w:sz w:val="16"/>
      </w:rPr>
    </w:pPr>
    <w:r>
      <w:rPr>
        <w:i/>
        <w:iCs/>
        <w:noProof/>
        <w:color w:val="00003C"/>
        <w:sz w:val="16"/>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3057256" cy="577399"/>
          <wp:effectExtent l="0" t="0" r="0" b="698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f-logo.gif"/>
                  <pic:cNvPicPr/>
                </pic:nvPicPr>
                <pic:blipFill>
                  <a:blip r:embed="rId1">
                    <a:extLst>
                      <a:ext uri="{28A0092B-C50C-407E-A947-70E740481C1C}">
                        <a14:useLocalDpi xmlns:a14="http://schemas.microsoft.com/office/drawing/2010/main" val="0"/>
                      </a:ext>
                    </a:extLst>
                  </a:blip>
                  <a:stretch>
                    <a:fillRect/>
                  </a:stretch>
                </pic:blipFill>
                <pic:spPr>
                  <a:xfrm>
                    <a:off x="0" y="0"/>
                    <a:ext cx="3057256" cy="577399"/>
                  </a:xfrm>
                  <a:prstGeom prst="rect">
                    <a:avLst/>
                  </a:prstGeom>
                </pic:spPr>
              </pic:pic>
            </a:graphicData>
          </a:graphic>
        </wp:anchor>
      </w:drawing>
    </w:r>
    <w:r w:rsidRPr="002A7723">
      <w:rPr>
        <w:i/>
        <w:iCs/>
        <w:color w:val="00003C"/>
        <w:sz w:val="16"/>
      </w:rPr>
      <w:t>Grandeur Peak Global Advisors</w:t>
    </w:r>
  </w:p>
  <w:p w:rsidR="001E4E86" w:rsidRDefault="001E4E86" w:rsidP="00151F1B">
    <w:pPr>
      <w:pStyle w:val="Header"/>
      <w:tabs>
        <w:tab w:val="left" w:pos="223"/>
      </w:tabs>
      <w:jc w:val="right"/>
      <w:rPr>
        <w:i/>
        <w:iCs/>
        <w:color w:val="00003C"/>
        <w:sz w:val="16"/>
      </w:rPr>
    </w:pPr>
    <w:r>
      <w:rPr>
        <w:i/>
        <w:iCs/>
        <w:color w:val="00003C"/>
        <w:sz w:val="16"/>
      </w:rPr>
      <w:t>136 South Main Street</w:t>
    </w:r>
  </w:p>
  <w:p w:rsidR="001E4E86" w:rsidRDefault="001E4E86" w:rsidP="00151F1B">
    <w:pPr>
      <w:pStyle w:val="Header"/>
      <w:tabs>
        <w:tab w:val="left" w:pos="223"/>
      </w:tabs>
      <w:jc w:val="right"/>
      <w:rPr>
        <w:i/>
        <w:iCs/>
        <w:color w:val="00003C"/>
        <w:sz w:val="16"/>
      </w:rPr>
    </w:pPr>
    <w:r>
      <w:rPr>
        <w:i/>
        <w:iCs/>
        <w:color w:val="00003C"/>
        <w:sz w:val="16"/>
      </w:rPr>
      <w:t xml:space="preserve">Suite 720 </w:t>
    </w:r>
  </w:p>
  <w:p w:rsidR="001E4E86" w:rsidRDefault="001E4E86" w:rsidP="00151F1B">
    <w:pPr>
      <w:pStyle w:val="Header"/>
      <w:tabs>
        <w:tab w:val="left" w:pos="223"/>
      </w:tabs>
      <w:jc w:val="right"/>
      <w:rPr>
        <w:i/>
        <w:iCs/>
        <w:color w:val="00003C"/>
        <w:sz w:val="16"/>
      </w:rPr>
    </w:pPr>
    <w:r>
      <w:rPr>
        <w:i/>
        <w:iCs/>
        <w:color w:val="00003C"/>
        <w:sz w:val="16"/>
      </w:rPr>
      <w:t>Salt Lake City, UT  84101</w:t>
    </w:r>
  </w:p>
  <w:p w:rsidR="001E4E86" w:rsidRDefault="001E4E86" w:rsidP="002A7723">
    <w:pPr>
      <w:pStyle w:val="Header"/>
      <w:tabs>
        <w:tab w:val="left" w:pos="223"/>
      </w:tabs>
      <w:jc w:val="right"/>
      <w:rPr>
        <w:i/>
        <w:iCs/>
        <w:color w:val="00003C"/>
        <w:sz w:val="16"/>
      </w:rPr>
    </w:pPr>
  </w:p>
  <w:p w:rsidR="001E4E86" w:rsidRDefault="001E4E86" w:rsidP="002A7723">
    <w:pPr>
      <w:pStyle w:val="Header"/>
      <w:tabs>
        <w:tab w:val="left" w:pos="223"/>
      </w:tabs>
      <w:jc w:val="right"/>
      <w:rPr>
        <w:i/>
        <w:iCs/>
        <w:color w:val="00003C"/>
        <w:sz w:val="16"/>
      </w:rPr>
    </w:pPr>
  </w:p>
  <w:p w:rsidR="001E4E86" w:rsidRDefault="001E4E86" w:rsidP="002A7723">
    <w:pPr>
      <w:pStyle w:val="Header"/>
      <w:tabs>
        <w:tab w:val="left" w:pos="223"/>
      </w:tabs>
      <w:jc w:val="right"/>
      <w:rPr>
        <w:i/>
        <w:iCs/>
        <w:color w:val="00003C"/>
        <w:sz w:val="16"/>
      </w:rPr>
    </w:pPr>
  </w:p>
  <w:p w:rsidR="001E4E86" w:rsidRDefault="001E4E86" w:rsidP="002A7723">
    <w:pPr>
      <w:pStyle w:val="Header"/>
      <w:tabs>
        <w:tab w:val="left" w:pos="223"/>
      </w:tabs>
      <w:jc w:val="right"/>
      <w:rPr>
        <w:i/>
        <w:iCs/>
        <w:color w:val="00003C"/>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F700A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2970F7"/>
    <w:multiLevelType w:val="hybridMultilevel"/>
    <w:tmpl w:val="2D42BFC6"/>
    <w:lvl w:ilvl="0" w:tplc="04090001">
      <w:start w:val="22"/>
      <w:numFmt w:val="bullet"/>
      <w:lvlText w:val=""/>
      <w:lvlJc w:val="left"/>
      <w:pPr>
        <w:ind w:left="720" w:hanging="360"/>
      </w:pPr>
      <w:rPr>
        <w:rFonts w:ascii="Symbol" w:eastAsia="Times New Roman" w:hAnsi="Symbol" w:cs="Times New Roman"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AF4914"/>
    <w:multiLevelType w:val="singleLevel"/>
    <w:tmpl w:val="168C6E28"/>
    <w:lvl w:ilvl="0">
      <w:start w:val="3"/>
      <w:numFmt w:val="upperRoman"/>
      <w:pStyle w:val="Heading1"/>
      <w:lvlText w:val="%1."/>
      <w:legacy w:legacy="1" w:legacySpace="0" w:legacyIndent="360"/>
      <w:lvlJc w:val="left"/>
      <w:pPr>
        <w:ind w:left="360" w:hanging="360"/>
      </w:pPr>
    </w:lvl>
  </w:abstractNum>
  <w:abstractNum w:abstractNumId="3">
    <w:nsid w:val="63FF6DDC"/>
    <w:multiLevelType w:val="hybridMultilevel"/>
    <w:tmpl w:val="DD1E6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DF0C27"/>
    <w:multiLevelType w:val="hybridMultilevel"/>
    <w:tmpl w:val="DDEE9556"/>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num w:numId="1">
    <w:abstractNumId w:val="2"/>
  </w:num>
  <w:num w:numId="2">
    <w:abstractNumId w:val="3"/>
  </w:num>
  <w:num w:numId="3">
    <w:abstractNumId w:val="0"/>
  </w:num>
  <w:num w:numId="4">
    <w:abstractNumId w:val="4"/>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EAA"/>
    <w:rsid w:val="0001053E"/>
    <w:rsid w:val="000152A0"/>
    <w:rsid w:val="00017D7A"/>
    <w:rsid w:val="00023AB9"/>
    <w:rsid w:val="0003199F"/>
    <w:rsid w:val="00031FC5"/>
    <w:rsid w:val="000335A4"/>
    <w:rsid w:val="0003740F"/>
    <w:rsid w:val="00040124"/>
    <w:rsid w:val="000450CC"/>
    <w:rsid w:val="00057E38"/>
    <w:rsid w:val="000642A1"/>
    <w:rsid w:val="0007120C"/>
    <w:rsid w:val="00072937"/>
    <w:rsid w:val="0007636A"/>
    <w:rsid w:val="00077219"/>
    <w:rsid w:val="000818FF"/>
    <w:rsid w:val="000865C2"/>
    <w:rsid w:val="00094437"/>
    <w:rsid w:val="00097A1E"/>
    <w:rsid w:val="000A5DB9"/>
    <w:rsid w:val="000B616F"/>
    <w:rsid w:val="000B741E"/>
    <w:rsid w:val="000C2FF3"/>
    <w:rsid w:val="000C4E8A"/>
    <w:rsid w:val="000C788A"/>
    <w:rsid w:val="000D0BF2"/>
    <w:rsid w:val="000D2551"/>
    <w:rsid w:val="000D4D58"/>
    <w:rsid w:val="000E1472"/>
    <w:rsid w:val="000E7B3D"/>
    <w:rsid w:val="000F26EE"/>
    <w:rsid w:val="000F4538"/>
    <w:rsid w:val="00105253"/>
    <w:rsid w:val="00110942"/>
    <w:rsid w:val="001130F2"/>
    <w:rsid w:val="00114B36"/>
    <w:rsid w:val="00130802"/>
    <w:rsid w:val="00147257"/>
    <w:rsid w:val="00151038"/>
    <w:rsid w:val="00151F1B"/>
    <w:rsid w:val="00154520"/>
    <w:rsid w:val="0016331A"/>
    <w:rsid w:val="00174DDD"/>
    <w:rsid w:val="001957AB"/>
    <w:rsid w:val="001A402F"/>
    <w:rsid w:val="001B17C0"/>
    <w:rsid w:val="001B2653"/>
    <w:rsid w:val="001B4ED2"/>
    <w:rsid w:val="001B4FF8"/>
    <w:rsid w:val="001B57D9"/>
    <w:rsid w:val="001C1C44"/>
    <w:rsid w:val="001C2DA2"/>
    <w:rsid w:val="001C74AC"/>
    <w:rsid w:val="001C76E8"/>
    <w:rsid w:val="001D2EAA"/>
    <w:rsid w:val="001D3274"/>
    <w:rsid w:val="001D3662"/>
    <w:rsid w:val="001E0713"/>
    <w:rsid w:val="001E16C7"/>
    <w:rsid w:val="001E4E86"/>
    <w:rsid w:val="001E6F0D"/>
    <w:rsid w:val="001F3310"/>
    <w:rsid w:val="001F3360"/>
    <w:rsid w:val="001F3ED0"/>
    <w:rsid w:val="002019DF"/>
    <w:rsid w:val="00203353"/>
    <w:rsid w:val="00204304"/>
    <w:rsid w:val="0020776B"/>
    <w:rsid w:val="00214092"/>
    <w:rsid w:val="00214225"/>
    <w:rsid w:val="0022179E"/>
    <w:rsid w:val="00225A68"/>
    <w:rsid w:val="00241C9E"/>
    <w:rsid w:val="0024579A"/>
    <w:rsid w:val="00262B0D"/>
    <w:rsid w:val="00263A7D"/>
    <w:rsid w:val="00265CFB"/>
    <w:rsid w:val="002705BF"/>
    <w:rsid w:val="002731F5"/>
    <w:rsid w:val="002759D2"/>
    <w:rsid w:val="002772C6"/>
    <w:rsid w:val="00287531"/>
    <w:rsid w:val="00296410"/>
    <w:rsid w:val="002A3453"/>
    <w:rsid w:val="002A7723"/>
    <w:rsid w:val="002A7E3E"/>
    <w:rsid w:val="002B2AE8"/>
    <w:rsid w:val="002C0DF0"/>
    <w:rsid w:val="002D5B53"/>
    <w:rsid w:val="002F3D42"/>
    <w:rsid w:val="0030773B"/>
    <w:rsid w:val="003115B6"/>
    <w:rsid w:val="00314C1B"/>
    <w:rsid w:val="0032061F"/>
    <w:rsid w:val="00324D00"/>
    <w:rsid w:val="00330FE1"/>
    <w:rsid w:val="00334CDA"/>
    <w:rsid w:val="00340785"/>
    <w:rsid w:val="00353C2C"/>
    <w:rsid w:val="00360EB5"/>
    <w:rsid w:val="00364991"/>
    <w:rsid w:val="00366E7F"/>
    <w:rsid w:val="00367E19"/>
    <w:rsid w:val="003750B8"/>
    <w:rsid w:val="00377658"/>
    <w:rsid w:val="00381EE4"/>
    <w:rsid w:val="00391798"/>
    <w:rsid w:val="003919FF"/>
    <w:rsid w:val="003945C6"/>
    <w:rsid w:val="00397D15"/>
    <w:rsid w:val="003A1E11"/>
    <w:rsid w:val="003A5DF0"/>
    <w:rsid w:val="003B022B"/>
    <w:rsid w:val="003B4F1D"/>
    <w:rsid w:val="003B552F"/>
    <w:rsid w:val="003B59C1"/>
    <w:rsid w:val="003C1A65"/>
    <w:rsid w:val="003C5ACD"/>
    <w:rsid w:val="003D338C"/>
    <w:rsid w:val="003E3BAC"/>
    <w:rsid w:val="003F3995"/>
    <w:rsid w:val="003F621D"/>
    <w:rsid w:val="00401C93"/>
    <w:rsid w:val="00406496"/>
    <w:rsid w:val="004117D7"/>
    <w:rsid w:val="00416845"/>
    <w:rsid w:val="00422FDD"/>
    <w:rsid w:val="004317D3"/>
    <w:rsid w:val="00433214"/>
    <w:rsid w:val="004335B6"/>
    <w:rsid w:val="00440AFB"/>
    <w:rsid w:val="00444517"/>
    <w:rsid w:val="0045309E"/>
    <w:rsid w:val="004543C6"/>
    <w:rsid w:val="00457DCB"/>
    <w:rsid w:val="004659B8"/>
    <w:rsid w:val="00471AF0"/>
    <w:rsid w:val="004769F2"/>
    <w:rsid w:val="004803B7"/>
    <w:rsid w:val="00487407"/>
    <w:rsid w:val="00487AA9"/>
    <w:rsid w:val="004A00C7"/>
    <w:rsid w:val="004A2ACD"/>
    <w:rsid w:val="004A75F8"/>
    <w:rsid w:val="004B09B5"/>
    <w:rsid w:val="004B4095"/>
    <w:rsid w:val="004B4949"/>
    <w:rsid w:val="004C297F"/>
    <w:rsid w:val="004F77CA"/>
    <w:rsid w:val="005140A6"/>
    <w:rsid w:val="0051478E"/>
    <w:rsid w:val="00521C27"/>
    <w:rsid w:val="00526895"/>
    <w:rsid w:val="005340D6"/>
    <w:rsid w:val="00542973"/>
    <w:rsid w:val="00544646"/>
    <w:rsid w:val="0054553E"/>
    <w:rsid w:val="00547977"/>
    <w:rsid w:val="0056106A"/>
    <w:rsid w:val="00561609"/>
    <w:rsid w:val="005633F7"/>
    <w:rsid w:val="0057097D"/>
    <w:rsid w:val="00573569"/>
    <w:rsid w:val="00583CB7"/>
    <w:rsid w:val="005849F5"/>
    <w:rsid w:val="00584C1C"/>
    <w:rsid w:val="00586FF3"/>
    <w:rsid w:val="00594582"/>
    <w:rsid w:val="005A39E0"/>
    <w:rsid w:val="005B4C97"/>
    <w:rsid w:val="005C335A"/>
    <w:rsid w:val="005C5D0A"/>
    <w:rsid w:val="005D3ACC"/>
    <w:rsid w:val="005E044C"/>
    <w:rsid w:val="005E0BD3"/>
    <w:rsid w:val="005F1CD8"/>
    <w:rsid w:val="005F29EB"/>
    <w:rsid w:val="005F32DB"/>
    <w:rsid w:val="005F4AC2"/>
    <w:rsid w:val="005F6738"/>
    <w:rsid w:val="00601D7B"/>
    <w:rsid w:val="0060609B"/>
    <w:rsid w:val="006078BE"/>
    <w:rsid w:val="006209AC"/>
    <w:rsid w:val="00630F68"/>
    <w:rsid w:val="00631953"/>
    <w:rsid w:val="00633F54"/>
    <w:rsid w:val="0065443E"/>
    <w:rsid w:val="00660E7C"/>
    <w:rsid w:val="00661824"/>
    <w:rsid w:val="00677D77"/>
    <w:rsid w:val="00680B72"/>
    <w:rsid w:val="00691AF6"/>
    <w:rsid w:val="006924B5"/>
    <w:rsid w:val="00695C96"/>
    <w:rsid w:val="006A3C0D"/>
    <w:rsid w:val="006B3D54"/>
    <w:rsid w:val="006B43A4"/>
    <w:rsid w:val="006C4396"/>
    <w:rsid w:val="006C7131"/>
    <w:rsid w:val="006E42C4"/>
    <w:rsid w:val="006E6206"/>
    <w:rsid w:val="006E634B"/>
    <w:rsid w:val="00710B88"/>
    <w:rsid w:val="0071231D"/>
    <w:rsid w:val="007150FA"/>
    <w:rsid w:val="00715969"/>
    <w:rsid w:val="00715BA4"/>
    <w:rsid w:val="007173F6"/>
    <w:rsid w:val="00717FF6"/>
    <w:rsid w:val="00726768"/>
    <w:rsid w:val="00727D1E"/>
    <w:rsid w:val="00727E1B"/>
    <w:rsid w:val="0073256A"/>
    <w:rsid w:val="007338CE"/>
    <w:rsid w:val="00735DFF"/>
    <w:rsid w:val="007361A4"/>
    <w:rsid w:val="00743D97"/>
    <w:rsid w:val="007479B0"/>
    <w:rsid w:val="00753DEC"/>
    <w:rsid w:val="00757F18"/>
    <w:rsid w:val="00762BDE"/>
    <w:rsid w:val="00765712"/>
    <w:rsid w:val="00765F2F"/>
    <w:rsid w:val="0077181E"/>
    <w:rsid w:val="007720E4"/>
    <w:rsid w:val="00776AC3"/>
    <w:rsid w:val="00785DD5"/>
    <w:rsid w:val="00787D87"/>
    <w:rsid w:val="00794FC2"/>
    <w:rsid w:val="007A0B94"/>
    <w:rsid w:val="007B321C"/>
    <w:rsid w:val="007C1F48"/>
    <w:rsid w:val="007C3D4C"/>
    <w:rsid w:val="007E5981"/>
    <w:rsid w:val="007F172D"/>
    <w:rsid w:val="00812268"/>
    <w:rsid w:val="008162C8"/>
    <w:rsid w:val="00826355"/>
    <w:rsid w:val="008373B6"/>
    <w:rsid w:val="008512E8"/>
    <w:rsid w:val="00854A05"/>
    <w:rsid w:val="008557C7"/>
    <w:rsid w:val="00856869"/>
    <w:rsid w:val="00862544"/>
    <w:rsid w:val="00863BC9"/>
    <w:rsid w:val="00865910"/>
    <w:rsid w:val="00867713"/>
    <w:rsid w:val="00874105"/>
    <w:rsid w:val="008762DE"/>
    <w:rsid w:val="008A11E5"/>
    <w:rsid w:val="008B2BBD"/>
    <w:rsid w:val="008C0944"/>
    <w:rsid w:val="008C672F"/>
    <w:rsid w:val="008D0EE8"/>
    <w:rsid w:val="008E0C9A"/>
    <w:rsid w:val="008E6114"/>
    <w:rsid w:val="008E75F3"/>
    <w:rsid w:val="008F44DE"/>
    <w:rsid w:val="008F5A60"/>
    <w:rsid w:val="009068F4"/>
    <w:rsid w:val="00910123"/>
    <w:rsid w:val="00921F8D"/>
    <w:rsid w:val="009245F5"/>
    <w:rsid w:val="00955517"/>
    <w:rsid w:val="0096191F"/>
    <w:rsid w:val="00971A63"/>
    <w:rsid w:val="00974666"/>
    <w:rsid w:val="00975BD0"/>
    <w:rsid w:val="0097785F"/>
    <w:rsid w:val="009825A5"/>
    <w:rsid w:val="0098304E"/>
    <w:rsid w:val="00995B66"/>
    <w:rsid w:val="00995E25"/>
    <w:rsid w:val="009A3BE0"/>
    <w:rsid w:val="009B696D"/>
    <w:rsid w:val="009D06F5"/>
    <w:rsid w:val="009D12BF"/>
    <w:rsid w:val="009D3654"/>
    <w:rsid w:val="009D4099"/>
    <w:rsid w:val="009E37AC"/>
    <w:rsid w:val="009E584F"/>
    <w:rsid w:val="009E659E"/>
    <w:rsid w:val="009F3C6B"/>
    <w:rsid w:val="00A05363"/>
    <w:rsid w:val="00A1117F"/>
    <w:rsid w:val="00A14E0A"/>
    <w:rsid w:val="00A15075"/>
    <w:rsid w:val="00A24B14"/>
    <w:rsid w:val="00A26B68"/>
    <w:rsid w:val="00A26BE0"/>
    <w:rsid w:val="00A33147"/>
    <w:rsid w:val="00A451DC"/>
    <w:rsid w:val="00A53159"/>
    <w:rsid w:val="00A600EF"/>
    <w:rsid w:val="00A649D8"/>
    <w:rsid w:val="00A70D2B"/>
    <w:rsid w:val="00A76061"/>
    <w:rsid w:val="00AA0B60"/>
    <w:rsid w:val="00AA104D"/>
    <w:rsid w:val="00AA670F"/>
    <w:rsid w:val="00AA7356"/>
    <w:rsid w:val="00AB210B"/>
    <w:rsid w:val="00AB36FF"/>
    <w:rsid w:val="00AB3E07"/>
    <w:rsid w:val="00AB6299"/>
    <w:rsid w:val="00AC39A5"/>
    <w:rsid w:val="00AD3754"/>
    <w:rsid w:val="00AE2328"/>
    <w:rsid w:val="00AE3A20"/>
    <w:rsid w:val="00AE4D92"/>
    <w:rsid w:val="00AE5F40"/>
    <w:rsid w:val="00AF0C6C"/>
    <w:rsid w:val="00AF3AA6"/>
    <w:rsid w:val="00AF48B8"/>
    <w:rsid w:val="00B06163"/>
    <w:rsid w:val="00B3013F"/>
    <w:rsid w:val="00B43883"/>
    <w:rsid w:val="00B56C74"/>
    <w:rsid w:val="00B66225"/>
    <w:rsid w:val="00B82D3E"/>
    <w:rsid w:val="00B96634"/>
    <w:rsid w:val="00BA1AFE"/>
    <w:rsid w:val="00BA6445"/>
    <w:rsid w:val="00BB1E3F"/>
    <w:rsid w:val="00BB389E"/>
    <w:rsid w:val="00BB6E32"/>
    <w:rsid w:val="00BC2974"/>
    <w:rsid w:val="00BC5092"/>
    <w:rsid w:val="00BC5E3B"/>
    <w:rsid w:val="00BD0958"/>
    <w:rsid w:val="00BE5E01"/>
    <w:rsid w:val="00BF28A2"/>
    <w:rsid w:val="00C018D9"/>
    <w:rsid w:val="00C03522"/>
    <w:rsid w:val="00C0657D"/>
    <w:rsid w:val="00C068AC"/>
    <w:rsid w:val="00C106BF"/>
    <w:rsid w:val="00C1357A"/>
    <w:rsid w:val="00C15C73"/>
    <w:rsid w:val="00C22153"/>
    <w:rsid w:val="00C22546"/>
    <w:rsid w:val="00C22BAD"/>
    <w:rsid w:val="00C3187D"/>
    <w:rsid w:val="00C34CDE"/>
    <w:rsid w:val="00C35F79"/>
    <w:rsid w:val="00C414D6"/>
    <w:rsid w:val="00C438ED"/>
    <w:rsid w:val="00C43FCB"/>
    <w:rsid w:val="00C85045"/>
    <w:rsid w:val="00C85F44"/>
    <w:rsid w:val="00CA2394"/>
    <w:rsid w:val="00CB0597"/>
    <w:rsid w:val="00CB4189"/>
    <w:rsid w:val="00CC350B"/>
    <w:rsid w:val="00CC61CA"/>
    <w:rsid w:val="00CC6365"/>
    <w:rsid w:val="00CD3DE5"/>
    <w:rsid w:val="00CE04B2"/>
    <w:rsid w:val="00CE116D"/>
    <w:rsid w:val="00CE23A3"/>
    <w:rsid w:val="00CE4500"/>
    <w:rsid w:val="00CF324E"/>
    <w:rsid w:val="00CF430B"/>
    <w:rsid w:val="00CF66EB"/>
    <w:rsid w:val="00D02CFD"/>
    <w:rsid w:val="00D10EC5"/>
    <w:rsid w:val="00D13A7A"/>
    <w:rsid w:val="00D21CAD"/>
    <w:rsid w:val="00D21EB8"/>
    <w:rsid w:val="00D223AB"/>
    <w:rsid w:val="00D246A6"/>
    <w:rsid w:val="00D27751"/>
    <w:rsid w:val="00D40600"/>
    <w:rsid w:val="00D407B3"/>
    <w:rsid w:val="00D52492"/>
    <w:rsid w:val="00D55856"/>
    <w:rsid w:val="00D66FCB"/>
    <w:rsid w:val="00D83B07"/>
    <w:rsid w:val="00D93D65"/>
    <w:rsid w:val="00D9721F"/>
    <w:rsid w:val="00DA00CC"/>
    <w:rsid w:val="00DA5F1D"/>
    <w:rsid w:val="00DB2249"/>
    <w:rsid w:val="00DB4F0C"/>
    <w:rsid w:val="00DC0989"/>
    <w:rsid w:val="00DC4AF0"/>
    <w:rsid w:val="00DE1666"/>
    <w:rsid w:val="00DF22BA"/>
    <w:rsid w:val="00E11A7E"/>
    <w:rsid w:val="00E12F8C"/>
    <w:rsid w:val="00E1500B"/>
    <w:rsid w:val="00E33277"/>
    <w:rsid w:val="00E3549A"/>
    <w:rsid w:val="00E502DF"/>
    <w:rsid w:val="00E51DED"/>
    <w:rsid w:val="00E52729"/>
    <w:rsid w:val="00E73669"/>
    <w:rsid w:val="00E83F90"/>
    <w:rsid w:val="00EA19DC"/>
    <w:rsid w:val="00EA300A"/>
    <w:rsid w:val="00EA5E46"/>
    <w:rsid w:val="00EC0269"/>
    <w:rsid w:val="00EC17AC"/>
    <w:rsid w:val="00ED1E49"/>
    <w:rsid w:val="00ED405C"/>
    <w:rsid w:val="00ED4133"/>
    <w:rsid w:val="00ED42F5"/>
    <w:rsid w:val="00ED4702"/>
    <w:rsid w:val="00EE24C3"/>
    <w:rsid w:val="00EF52FF"/>
    <w:rsid w:val="00EF623E"/>
    <w:rsid w:val="00F02698"/>
    <w:rsid w:val="00F02E9D"/>
    <w:rsid w:val="00F103F3"/>
    <w:rsid w:val="00F121BD"/>
    <w:rsid w:val="00F12539"/>
    <w:rsid w:val="00F148ED"/>
    <w:rsid w:val="00F1684D"/>
    <w:rsid w:val="00F1719B"/>
    <w:rsid w:val="00F27EF6"/>
    <w:rsid w:val="00F33392"/>
    <w:rsid w:val="00F3747D"/>
    <w:rsid w:val="00F421D5"/>
    <w:rsid w:val="00F43060"/>
    <w:rsid w:val="00F46478"/>
    <w:rsid w:val="00F50993"/>
    <w:rsid w:val="00F550E6"/>
    <w:rsid w:val="00F61446"/>
    <w:rsid w:val="00F75484"/>
    <w:rsid w:val="00F80F4F"/>
    <w:rsid w:val="00F844CC"/>
    <w:rsid w:val="00F91750"/>
    <w:rsid w:val="00F93B94"/>
    <w:rsid w:val="00F95497"/>
    <w:rsid w:val="00FA1F71"/>
    <w:rsid w:val="00FA20A7"/>
    <w:rsid w:val="00FA3964"/>
    <w:rsid w:val="00FA4C49"/>
    <w:rsid w:val="00FC2663"/>
    <w:rsid w:val="00FD6B57"/>
    <w:rsid w:val="00FD6D9A"/>
    <w:rsid w:val="00FE008B"/>
    <w:rsid w:val="00FE2AE2"/>
    <w:rsid w:val="00FE3040"/>
    <w:rsid w:val="00FE65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numPr>
        <w:numId w:val="1"/>
      </w:numPr>
      <w:outlineLvl w:val="0"/>
    </w:pPr>
    <w:rPr>
      <w:b/>
      <w:bCs/>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360"/>
      <w:jc w:val="both"/>
    </w:pPr>
    <w:rPr>
      <w:b/>
      <w:sz w:val="22"/>
    </w:rPr>
  </w:style>
  <w:style w:type="character" w:styleId="PageNumber">
    <w:name w:val="page number"/>
    <w:basedOn w:val="DefaultParagraphFont"/>
    <w:rsid w:val="001E16C7"/>
  </w:style>
  <w:style w:type="paragraph" w:styleId="ListParagraph">
    <w:name w:val="List Paragraph"/>
    <w:basedOn w:val="Normal"/>
    <w:uiPriority w:val="34"/>
    <w:qFormat/>
    <w:rsid w:val="000C4E8A"/>
    <w:pPr>
      <w:ind w:left="720"/>
    </w:pPr>
  </w:style>
  <w:style w:type="paragraph" w:styleId="BalloonText">
    <w:name w:val="Balloon Text"/>
    <w:basedOn w:val="Normal"/>
    <w:link w:val="BalloonTextChar"/>
    <w:rsid w:val="004B4949"/>
    <w:rPr>
      <w:rFonts w:ascii="Lucida Grande" w:hAnsi="Lucida Grande" w:cs="Lucida Grande"/>
      <w:sz w:val="18"/>
      <w:szCs w:val="18"/>
    </w:rPr>
  </w:style>
  <w:style w:type="character" w:customStyle="1" w:styleId="BalloonTextChar">
    <w:name w:val="Balloon Text Char"/>
    <w:link w:val="BalloonText"/>
    <w:rsid w:val="004B4949"/>
    <w:rPr>
      <w:rFonts w:ascii="Lucida Grande" w:hAnsi="Lucida Grande" w:cs="Lucida Grande"/>
      <w:sz w:val="18"/>
      <w:szCs w:val="18"/>
    </w:rPr>
  </w:style>
  <w:style w:type="paragraph" w:styleId="List">
    <w:name w:val="List"/>
    <w:basedOn w:val="Normal"/>
    <w:rsid w:val="001F3310"/>
    <w:pPr>
      <w:ind w:left="360" w:hanging="360"/>
    </w:pPr>
    <w:rPr>
      <w:sz w:val="20"/>
      <w:szCs w:val="20"/>
    </w:rPr>
  </w:style>
  <w:style w:type="paragraph" w:styleId="FootnoteText">
    <w:name w:val="footnote text"/>
    <w:basedOn w:val="Normal"/>
    <w:link w:val="FootnoteTextChar"/>
    <w:rsid w:val="00023AB9"/>
  </w:style>
  <w:style w:type="character" w:customStyle="1" w:styleId="FootnoteTextChar">
    <w:name w:val="Footnote Text Char"/>
    <w:basedOn w:val="DefaultParagraphFont"/>
    <w:link w:val="FootnoteText"/>
    <w:rsid w:val="00023AB9"/>
    <w:rPr>
      <w:sz w:val="24"/>
      <w:szCs w:val="24"/>
    </w:rPr>
  </w:style>
  <w:style w:type="character" w:styleId="FootnoteReference">
    <w:name w:val="footnote reference"/>
    <w:basedOn w:val="DefaultParagraphFont"/>
    <w:rsid w:val="00023AB9"/>
    <w:rPr>
      <w:vertAlign w:val="superscript"/>
    </w:rPr>
  </w:style>
  <w:style w:type="character" w:styleId="Hyperlink">
    <w:name w:val="Hyperlink"/>
    <w:basedOn w:val="DefaultParagraphFont"/>
    <w:rsid w:val="00D9721F"/>
    <w:rPr>
      <w:color w:val="0000FF" w:themeColor="hyperlink"/>
      <w:u w:val="single"/>
    </w:rPr>
  </w:style>
  <w:style w:type="paragraph" w:styleId="EndnoteText">
    <w:name w:val="endnote text"/>
    <w:basedOn w:val="Normal"/>
    <w:link w:val="EndnoteTextChar"/>
    <w:rsid w:val="00B96634"/>
  </w:style>
  <w:style w:type="character" w:customStyle="1" w:styleId="EndnoteTextChar">
    <w:name w:val="Endnote Text Char"/>
    <w:basedOn w:val="DefaultParagraphFont"/>
    <w:link w:val="EndnoteText"/>
    <w:rsid w:val="00B96634"/>
    <w:rPr>
      <w:sz w:val="24"/>
      <w:szCs w:val="24"/>
    </w:rPr>
  </w:style>
  <w:style w:type="character" w:styleId="EndnoteReference">
    <w:name w:val="endnote reference"/>
    <w:basedOn w:val="DefaultParagraphFont"/>
    <w:rsid w:val="00B96634"/>
    <w:rPr>
      <w:vertAlign w:val="superscript"/>
    </w:rPr>
  </w:style>
  <w:style w:type="table" w:styleId="TableGrid">
    <w:name w:val="Table Grid"/>
    <w:basedOn w:val="TableNormal"/>
    <w:rsid w:val="000763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F50993"/>
    <w:rPr>
      <w:sz w:val="16"/>
      <w:szCs w:val="16"/>
    </w:rPr>
  </w:style>
  <w:style w:type="paragraph" w:styleId="CommentText">
    <w:name w:val="annotation text"/>
    <w:basedOn w:val="Normal"/>
    <w:link w:val="CommentTextChar"/>
    <w:rsid w:val="00F50993"/>
    <w:rPr>
      <w:sz w:val="20"/>
      <w:szCs w:val="20"/>
    </w:rPr>
  </w:style>
  <w:style w:type="character" w:customStyle="1" w:styleId="CommentTextChar">
    <w:name w:val="Comment Text Char"/>
    <w:basedOn w:val="DefaultParagraphFont"/>
    <w:link w:val="CommentText"/>
    <w:rsid w:val="00F50993"/>
  </w:style>
  <w:style w:type="paragraph" w:styleId="CommentSubject">
    <w:name w:val="annotation subject"/>
    <w:basedOn w:val="CommentText"/>
    <w:next w:val="CommentText"/>
    <w:link w:val="CommentSubjectChar"/>
    <w:rsid w:val="00F50993"/>
    <w:rPr>
      <w:b/>
      <w:bCs/>
    </w:rPr>
  </w:style>
  <w:style w:type="character" w:customStyle="1" w:styleId="CommentSubjectChar">
    <w:name w:val="Comment Subject Char"/>
    <w:basedOn w:val="CommentTextChar"/>
    <w:link w:val="CommentSubject"/>
    <w:rsid w:val="00F50993"/>
    <w:rPr>
      <w:b/>
      <w:bCs/>
    </w:rPr>
  </w:style>
  <w:style w:type="character" w:customStyle="1" w:styleId="apple-converted-space">
    <w:name w:val="apple-converted-space"/>
    <w:basedOn w:val="DefaultParagraphFont"/>
    <w:rsid w:val="00F421D5"/>
  </w:style>
  <w:style w:type="character" w:customStyle="1" w:styleId="itxtrst">
    <w:name w:val="itxtrst"/>
    <w:basedOn w:val="DefaultParagraphFont"/>
    <w:rsid w:val="00F421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numPr>
        <w:numId w:val="1"/>
      </w:numPr>
      <w:outlineLvl w:val="0"/>
    </w:pPr>
    <w:rPr>
      <w:b/>
      <w:bCs/>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360"/>
      <w:jc w:val="both"/>
    </w:pPr>
    <w:rPr>
      <w:b/>
      <w:sz w:val="22"/>
    </w:rPr>
  </w:style>
  <w:style w:type="character" w:styleId="PageNumber">
    <w:name w:val="page number"/>
    <w:basedOn w:val="DefaultParagraphFont"/>
    <w:rsid w:val="001E16C7"/>
  </w:style>
  <w:style w:type="paragraph" w:styleId="ListParagraph">
    <w:name w:val="List Paragraph"/>
    <w:basedOn w:val="Normal"/>
    <w:uiPriority w:val="34"/>
    <w:qFormat/>
    <w:rsid w:val="000C4E8A"/>
    <w:pPr>
      <w:ind w:left="720"/>
    </w:pPr>
  </w:style>
  <w:style w:type="paragraph" w:styleId="BalloonText">
    <w:name w:val="Balloon Text"/>
    <w:basedOn w:val="Normal"/>
    <w:link w:val="BalloonTextChar"/>
    <w:rsid w:val="004B4949"/>
    <w:rPr>
      <w:rFonts w:ascii="Lucida Grande" w:hAnsi="Lucida Grande" w:cs="Lucida Grande"/>
      <w:sz w:val="18"/>
      <w:szCs w:val="18"/>
    </w:rPr>
  </w:style>
  <w:style w:type="character" w:customStyle="1" w:styleId="BalloonTextChar">
    <w:name w:val="Balloon Text Char"/>
    <w:link w:val="BalloonText"/>
    <w:rsid w:val="004B4949"/>
    <w:rPr>
      <w:rFonts w:ascii="Lucida Grande" w:hAnsi="Lucida Grande" w:cs="Lucida Grande"/>
      <w:sz w:val="18"/>
      <w:szCs w:val="18"/>
    </w:rPr>
  </w:style>
  <w:style w:type="paragraph" w:styleId="List">
    <w:name w:val="List"/>
    <w:basedOn w:val="Normal"/>
    <w:rsid w:val="001F3310"/>
    <w:pPr>
      <w:ind w:left="360" w:hanging="360"/>
    </w:pPr>
    <w:rPr>
      <w:sz w:val="20"/>
      <w:szCs w:val="20"/>
    </w:rPr>
  </w:style>
  <w:style w:type="paragraph" w:styleId="FootnoteText">
    <w:name w:val="footnote text"/>
    <w:basedOn w:val="Normal"/>
    <w:link w:val="FootnoteTextChar"/>
    <w:rsid w:val="00023AB9"/>
  </w:style>
  <w:style w:type="character" w:customStyle="1" w:styleId="FootnoteTextChar">
    <w:name w:val="Footnote Text Char"/>
    <w:basedOn w:val="DefaultParagraphFont"/>
    <w:link w:val="FootnoteText"/>
    <w:rsid w:val="00023AB9"/>
    <w:rPr>
      <w:sz w:val="24"/>
      <w:szCs w:val="24"/>
    </w:rPr>
  </w:style>
  <w:style w:type="character" w:styleId="FootnoteReference">
    <w:name w:val="footnote reference"/>
    <w:basedOn w:val="DefaultParagraphFont"/>
    <w:rsid w:val="00023AB9"/>
    <w:rPr>
      <w:vertAlign w:val="superscript"/>
    </w:rPr>
  </w:style>
  <w:style w:type="character" w:styleId="Hyperlink">
    <w:name w:val="Hyperlink"/>
    <w:basedOn w:val="DefaultParagraphFont"/>
    <w:rsid w:val="00D9721F"/>
    <w:rPr>
      <w:color w:val="0000FF" w:themeColor="hyperlink"/>
      <w:u w:val="single"/>
    </w:rPr>
  </w:style>
  <w:style w:type="paragraph" w:styleId="EndnoteText">
    <w:name w:val="endnote text"/>
    <w:basedOn w:val="Normal"/>
    <w:link w:val="EndnoteTextChar"/>
    <w:rsid w:val="00B96634"/>
  </w:style>
  <w:style w:type="character" w:customStyle="1" w:styleId="EndnoteTextChar">
    <w:name w:val="Endnote Text Char"/>
    <w:basedOn w:val="DefaultParagraphFont"/>
    <w:link w:val="EndnoteText"/>
    <w:rsid w:val="00B96634"/>
    <w:rPr>
      <w:sz w:val="24"/>
      <w:szCs w:val="24"/>
    </w:rPr>
  </w:style>
  <w:style w:type="character" w:styleId="EndnoteReference">
    <w:name w:val="endnote reference"/>
    <w:basedOn w:val="DefaultParagraphFont"/>
    <w:rsid w:val="00B96634"/>
    <w:rPr>
      <w:vertAlign w:val="superscript"/>
    </w:rPr>
  </w:style>
  <w:style w:type="table" w:styleId="TableGrid">
    <w:name w:val="Table Grid"/>
    <w:basedOn w:val="TableNormal"/>
    <w:rsid w:val="000763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F50993"/>
    <w:rPr>
      <w:sz w:val="16"/>
      <w:szCs w:val="16"/>
    </w:rPr>
  </w:style>
  <w:style w:type="paragraph" w:styleId="CommentText">
    <w:name w:val="annotation text"/>
    <w:basedOn w:val="Normal"/>
    <w:link w:val="CommentTextChar"/>
    <w:rsid w:val="00F50993"/>
    <w:rPr>
      <w:sz w:val="20"/>
      <w:szCs w:val="20"/>
    </w:rPr>
  </w:style>
  <w:style w:type="character" w:customStyle="1" w:styleId="CommentTextChar">
    <w:name w:val="Comment Text Char"/>
    <w:basedOn w:val="DefaultParagraphFont"/>
    <w:link w:val="CommentText"/>
    <w:rsid w:val="00F50993"/>
  </w:style>
  <w:style w:type="paragraph" w:styleId="CommentSubject">
    <w:name w:val="annotation subject"/>
    <w:basedOn w:val="CommentText"/>
    <w:next w:val="CommentText"/>
    <w:link w:val="CommentSubjectChar"/>
    <w:rsid w:val="00F50993"/>
    <w:rPr>
      <w:b/>
      <w:bCs/>
    </w:rPr>
  </w:style>
  <w:style w:type="character" w:customStyle="1" w:styleId="CommentSubjectChar">
    <w:name w:val="Comment Subject Char"/>
    <w:basedOn w:val="CommentTextChar"/>
    <w:link w:val="CommentSubject"/>
    <w:rsid w:val="00F50993"/>
    <w:rPr>
      <w:b/>
      <w:bCs/>
    </w:rPr>
  </w:style>
  <w:style w:type="character" w:customStyle="1" w:styleId="apple-converted-space">
    <w:name w:val="apple-converted-space"/>
    <w:basedOn w:val="DefaultParagraphFont"/>
    <w:rsid w:val="00F421D5"/>
  </w:style>
  <w:style w:type="character" w:customStyle="1" w:styleId="itxtrst">
    <w:name w:val="itxtrst"/>
    <w:basedOn w:val="DefaultParagraphFont"/>
    <w:rsid w:val="00F42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571116">
      <w:bodyDiv w:val="1"/>
      <w:marLeft w:val="0"/>
      <w:marRight w:val="0"/>
      <w:marTop w:val="0"/>
      <w:marBottom w:val="0"/>
      <w:divBdr>
        <w:top w:val="none" w:sz="0" w:space="0" w:color="auto"/>
        <w:left w:val="none" w:sz="0" w:space="0" w:color="auto"/>
        <w:bottom w:val="none" w:sz="0" w:space="0" w:color="auto"/>
        <w:right w:val="none" w:sz="0" w:space="0" w:color="auto"/>
      </w:divBdr>
    </w:div>
    <w:div w:id="231738281">
      <w:bodyDiv w:val="1"/>
      <w:marLeft w:val="0"/>
      <w:marRight w:val="0"/>
      <w:marTop w:val="0"/>
      <w:marBottom w:val="0"/>
      <w:divBdr>
        <w:top w:val="none" w:sz="0" w:space="0" w:color="auto"/>
        <w:left w:val="none" w:sz="0" w:space="0" w:color="auto"/>
        <w:bottom w:val="none" w:sz="0" w:space="0" w:color="auto"/>
        <w:right w:val="none" w:sz="0" w:space="0" w:color="auto"/>
      </w:divBdr>
    </w:div>
    <w:div w:id="273245293">
      <w:bodyDiv w:val="1"/>
      <w:marLeft w:val="0"/>
      <w:marRight w:val="0"/>
      <w:marTop w:val="0"/>
      <w:marBottom w:val="0"/>
      <w:divBdr>
        <w:top w:val="none" w:sz="0" w:space="0" w:color="auto"/>
        <w:left w:val="none" w:sz="0" w:space="0" w:color="auto"/>
        <w:bottom w:val="none" w:sz="0" w:space="0" w:color="auto"/>
        <w:right w:val="none" w:sz="0" w:space="0" w:color="auto"/>
      </w:divBdr>
    </w:div>
    <w:div w:id="490609388">
      <w:bodyDiv w:val="1"/>
      <w:marLeft w:val="0"/>
      <w:marRight w:val="0"/>
      <w:marTop w:val="0"/>
      <w:marBottom w:val="0"/>
      <w:divBdr>
        <w:top w:val="none" w:sz="0" w:space="0" w:color="auto"/>
        <w:left w:val="none" w:sz="0" w:space="0" w:color="auto"/>
        <w:bottom w:val="none" w:sz="0" w:space="0" w:color="auto"/>
        <w:right w:val="none" w:sz="0" w:space="0" w:color="auto"/>
      </w:divBdr>
    </w:div>
    <w:div w:id="557789276">
      <w:bodyDiv w:val="1"/>
      <w:marLeft w:val="0"/>
      <w:marRight w:val="0"/>
      <w:marTop w:val="0"/>
      <w:marBottom w:val="0"/>
      <w:divBdr>
        <w:top w:val="none" w:sz="0" w:space="0" w:color="auto"/>
        <w:left w:val="none" w:sz="0" w:space="0" w:color="auto"/>
        <w:bottom w:val="none" w:sz="0" w:space="0" w:color="auto"/>
        <w:right w:val="none" w:sz="0" w:space="0" w:color="auto"/>
      </w:divBdr>
    </w:div>
    <w:div w:id="561254586">
      <w:bodyDiv w:val="1"/>
      <w:marLeft w:val="0"/>
      <w:marRight w:val="0"/>
      <w:marTop w:val="0"/>
      <w:marBottom w:val="0"/>
      <w:divBdr>
        <w:top w:val="none" w:sz="0" w:space="0" w:color="auto"/>
        <w:left w:val="none" w:sz="0" w:space="0" w:color="auto"/>
        <w:bottom w:val="none" w:sz="0" w:space="0" w:color="auto"/>
        <w:right w:val="none" w:sz="0" w:space="0" w:color="auto"/>
      </w:divBdr>
    </w:div>
    <w:div w:id="702905948">
      <w:bodyDiv w:val="1"/>
      <w:marLeft w:val="0"/>
      <w:marRight w:val="0"/>
      <w:marTop w:val="0"/>
      <w:marBottom w:val="0"/>
      <w:divBdr>
        <w:top w:val="none" w:sz="0" w:space="0" w:color="auto"/>
        <w:left w:val="none" w:sz="0" w:space="0" w:color="auto"/>
        <w:bottom w:val="none" w:sz="0" w:space="0" w:color="auto"/>
        <w:right w:val="none" w:sz="0" w:space="0" w:color="auto"/>
      </w:divBdr>
    </w:div>
    <w:div w:id="704402651">
      <w:bodyDiv w:val="1"/>
      <w:marLeft w:val="0"/>
      <w:marRight w:val="0"/>
      <w:marTop w:val="0"/>
      <w:marBottom w:val="0"/>
      <w:divBdr>
        <w:top w:val="none" w:sz="0" w:space="0" w:color="auto"/>
        <w:left w:val="none" w:sz="0" w:space="0" w:color="auto"/>
        <w:bottom w:val="none" w:sz="0" w:space="0" w:color="auto"/>
        <w:right w:val="none" w:sz="0" w:space="0" w:color="auto"/>
      </w:divBdr>
    </w:div>
    <w:div w:id="770055115">
      <w:bodyDiv w:val="1"/>
      <w:marLeft w:val="0"/>
      <w:marRight w:val="0"/>
      <w:marTop w:val="0"/>
      <w:marBottom w:val="0"/>
      <w:divBdr>
        <w:top w:val="none" w:sz="0" w:space="0" w:color="auto"/>
        <w:left w:val="none" w:sz="0" w:space="0" w:color="auto"/>
        <w:bottom w:val="none" w:sz="0" w:space="0" w:color="auto"/>
        <w:right w:val="none" w:sz="0" w:space="0" w:color="auto"/>
      </w:divBdr>
    </w:div>
    <w:div w:id="791628041">
      <w:bodyDiv w:val="1"/>
      <w:marLeft w:val="0"/>
      <w:marRight w:val="0"/>
      <w:marTop w:val="0"/>
      <w:marBottom w:val="0"/>
      <w:divBdr>
        <w:top w:val="none" w:sz="0" w:space="0" w:color="auto"/>
        <w:left w:val="none" w:sz="0" w:space="0" w:color="auto"/>
        <w:bottom w:val="none" w:sz="0" w:space="0" w:color="auto"/>
        <w:right w:val="none" w:sz="0" w:space="0" w:color="auto"/>
      </w:divBdr>
    </w:div>
    <w:div w:id="853308042">
      <w:bodyDiv w:val="1"/>
      <w:marLeft w:val="0"/>
      <w:marRight w:val="0"/>
      <w:marTop w:val="0"/>
      <w:marBottom w:val="0"/>
      <w:divBdr>
        <w:top w:val="none" w:sz="0" w:space="0" w:color="auto"/>
        <w:left w:val="none" w:sz="0" w:space="0" w:color="auto"/>
        <w:bottom w:val="none" w:sz="0" w:space="0" w:color="auto"/>
        <w:right w:val="none" w:sz="0" w:space="0" w:color="auto"/>
      </w:divBdr>
    </w:div>
    <w:div w:id="854533509">
      <w:bodyDiv w:val="1"/>
      <w:marLeft w:val="0"/>
      <w:marRight w:val="0"/>
      <w:marTop w:val="0"/>
      <w:marBottom w:val="0"/>
      <w:divBdr>
        <w:top w:val="none" w:sz="0" w:space="0" w:color="auto"/>
        <w:left w:val="none" w:sz="0" w:space="0" w:color="auto"/>
        <w:bottom w:val="none" w:sz="0" w:space="0" w:color="auto"/>
        <w:right w:val="none" w:sz="0" w:space="0" w:color="auto"/>
      </w:divBdr>
    </w:div>
    <w:div w:id="927734085">
      <w:bodyDiv w:val="1"/>
      <w:marLeft w:val="0"/>
      <w:marRight w:val="0"/>
      <w:marTop w:val="0"/>
      <w:marBottom w:val="0"/>
      <w:divBdr>
        <w:top w:val="none" w:sz="0" w:space="0" w:color="auto"/>
        <w:left w:val="none" w:sz="0" w:space="0" w:color="auto"/>
        <w:bottom w:val="none" w:sz="0" w:space="0" w:color="auto"/>
        <w:right w:val="none" w:sz="0" w:space="0" w:color="auto"/>
      </w:divBdr>
    </w:div>
    <w:div w:id="970553344">
      <w:bodyDiv w:val="1"/>
      <w:marLeft w:val="0"/>
      <w:marRight w:val="0"/>
      <w:marTop w:val="0"/>
      <w:marBottom w:val="0"/>
      <w:divBdr>
        <w:top w:val="none" w:sz="0" w:space="0" w:color="auto"/>
        <w:left w:val="none" w:sz="0" w:space="0" w:color="auto"/>
        <w:bottom w:val="none" w:sz="0" w:space="0" w:color="auto"/>
        <w:right w:val="none" w:sz="0" w:space="0" w:color="auto"/>
      </w:divBdr>
    </w:div>
    <w:div w:id="1004629022">
      <w:bodyDiv w:val="1"/>
      <w:marLeft w:val="0"/>
      <w:marRight w:val="0"/>
      <w:marTop w:val="0"/>
      <w:marBottom w:val="0"/>
      <w:divBdr>
        <w:top w:val="none" w:sz="0" w:space="0" w:color="auto"/>
        <w:left w:val="none" w:sz="0" w:space="0" w:color="auto"/>
        <w:bottom w:val="none" w:sz="0" w:space="0" w:color="auto"/>
        <w:right w:val="none" w:sz="0" w:space="0" w:color="auto"/>
      </w:divBdr>
    </w:div>
    <w:div w:id="1067923369">
      <w:bodyDiv w:val="1"/>
      <w:marLeft w:val="0"/>
      <w:marRight w:val="0"/>
      <w:marTop w:val="0"/>
      <w:marBottom w:val="0"/>
      <w:divBdr>
        <w:top w:val="none" w:sz="0" w:space="0" w:color="auto"/>
        <w:left w:val="none" w:sz="0" w:space="0" w:color="auto"/>
        <w:bottom w:val="none" w:sz="0" w:space="0" w:color="auto"/>
        <w:right w:val="none" w:sz="0" w:space="0" w:color="auto"/>
      </w:divBdr>
    </w:div>
    <w:div w:id="1118640475">
      <w:bodyDiv w:val="1"/>
      <w:marLeft w:val="0"/>
      <w:marRight w:val="0"/>
      <w:marTop w:val="0"/>
      <w:marBottom w:val="0"/>
      <w:divBdr>
        <w:top w:val="none" w:sz="0" w:space="0" w:color="auto"/>
        <w:left w:val="none" w:sz="0" w:space="0" w:color="auto"/>
        <w:bottom w:val="none" w:sz="0" w:space="0" w:color="auto"/>
        <w:right w:val="none" w:sz="0" w:space="0" w:color="auto"/>
      </w:divBdr>
    </w:div>
    <w:div w:id="1285578276">
      <w:bodyDiv w:val="1"/>
      <w:marLeft w:val="0"/>
      <w:marRight w:val="0"/>
      <w:marTop w:val="0"/>
      <w:marBottom w:val="0"/>
      <w:divBdr>
        <w:top w:val="none" w:sz="0" w:space="0" w:color="auto"/>
        <w:left w:val="none" w:sz="0" w:space="0" w:color="auto"/>
        <w:bottom w:val="none" w:sz="0" w:space="0" w:color="auto"/>
        <w:right w:val="none" w:sz="0" w:space="0" w:color="auto"/>
      </w:divBdr>
    </w:div>
    <w:div w:id="1293633324">
      <w:bodyDiv w:val="1"/>
      <w:marLeft w:val="0"/>
      <w:marRight w:val="0"/>
      <w:marTop w:val="0"/>
      <w:marBottom w:val="0"/>
      <w:divBdr>
        <w:top w:val="none" w:sz="0" w:space="0" w:color="auto"/>
        <w:left w:val="none" w:sz="0" w:space="0" w:color="auto"/>
        <w:bottom w:val="none" w:sz="0" w:space="0" w:color="auto"/>
        <w:right w:val="none" w:sz="0" w:space="0" w:color="auto"/>
      </w:divBdr>
    </w:div>
    <w:div w:id="1363245562">
      <w:bodyDiv w:val="1"/>
      <w:marLeft w:val="0"/>
      <w:marRight w:val="0"/>
      <w:marTop w:val="0"/>
      <w:marBottom w:val="0"/>
      <w:divBdr>
        <w:top w:val="none" w:sz="0" w:space="0" w:color="auto"/>
        <w:left w:val="none" w:sz="0" w:space="0" w:color="auto"/>
        <w:bottom w:val="none" w:sz="0" w:space="0" w:color="auto"/>
        <w:right w:val="none" w:sz="0" w:space="0" w:color="auto"/>
      </w:divBdr>
    </w:div>
    <w:div w:id="1620064014">
      <w:bodyDiv w:val="1"/>
      <w:marLeft w:val="0"/>
      <w:marRight w:val="0"/>
      <w:marTop w:val="0"/>
      <w:marBottom w:val="0"/>
      <w:divBdr>
        <w:top w:val="none" w:sz="0" w:space="0" w:color="auto"/>
        <w:left w:val="none" w:sz="0" w:space="0" w:color="auto"/>
        <w:bottom w:val="none" w:sz="0" w:space="0" w:color="auto"/>
        <w:right w:val="none" w:sz="0" w:space="0" w:color="auto"/>
      </w:divBdr>
    </w:div>
    <w:div w:id="1703047166">
      <w:bodyDiv w:val="1"/>
      <w:marLeft w:val="0"/>
      <w:marRight w:val="0"/>
      <w:marTop w:val="0"/>
      <w:marBottom w:val="0"/>
      <w:divBdr>
        <w:top w:val="none" w:sz="0" w:space="0" w:color="auto"/>
        <w:left w:val="none" w:sz="0" w:space="0" w:color="auto"/>
        <w:bottom w:val="none" w:sz="0" w:space="0" w:color="auto"/>
        <w:right w:val="none" w:sz="0" w:space="0" w:color="auto"/>
      </w:divBdr>
    </w:div>
    <w:div w:id="1791389737">
      <w:bodyDiv w:val="1"/>
      <w:marLeft w:val="0"/>
      <w:marRight w:val="0"/>
      <w:marTop w:val="0"/>
      <w:marBottom w:val="0"/>
      <w:divBdr>
        <w:top w:val="none" w:sz="0" w:space="0" w:color="auto"/>
        <w:left w:val="none" w:sz="0" w:space="0" w:color="auto"/>
        <w:bottom w:val="none" w:sz="0" w:space="0" w:color="auto"/>
        <w:right w:val="none" w:sz="0" w:space="0" w:color="auto"/>
      </w:divBdr>
    </w:div>
    <w:div w:id="2093812506">
      <w:bodyDiv w:val="1"/>
      <w:marLeft w:val="0"/>
      <w:marRight w:val="0"/>
      <w:marTop w:val="0"/>
      <w:marBottom w:val="0"/>
      <w:divBdr>
        <w:top w:val="none" w:sz="0" w:space="0" w:color="auto"/>
        <w:left w:val="none" w:sz="0" w:space="0" w:color="auto"/>
        <w:bottom w:val="none" w:sz="0" w:space="0" w:color="auto"/>
        <w:right w:val="none" w:sz="0" w:space="0" w:color="auto"/>
      </w:divBdr>
    </w:div>
    <w:div w:id="2123065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grandeurpeakglobal.com/fund-literature.php" TargetMode="External"/><Relationship Id="rId4" Type="http://schemas.microsoft.com/office/2007/relationships/stylesWithEffects" Target="stylesWithEffects.xml"/><Relationship Id="rId9" Type="http://schemas.openxmlformats.org/officeDocument/2006/relationships/hyperlink" Target="http://www.grandeurpeakgloba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AB7D0-B708-4875-A75D-B857BD8AA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4013</Words>
  <Characters>22876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Sample RFP</vt:lpstr>
    </vt:vector>
  </TitlesOfParts>
  <Company>Goldman Sachs</Company>
  <LinksUpToDate>false</LinksUpToDate>
  <CharactersWithSpaces>26836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RFP</dc:title>
  <dc:creator>Mark Siddoway</dc:creator>
  <cp:lastModifiedBy>Eric Huefner</cp:lastModifiedBy>
  <cp:revision>2</cp:revision>
  <cp:lastPrinted>2012-04-09T02:31:00Z</cp:lastPrinted>
  <dcterms:created xsi:type="dcterms:W3CDTF">2012-04-23T19:36:00Z</dcterms:created>
  <dcterms:modified xsi:type="dcterms:W3CDTF">2012-04-23T19:36:00Z</dcterms:modified>
</cp:coreProperties>
</file>