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02" w:rsidRDefault="00087602" w:rsidP="00087602"/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806"/>
        <w:gridCol w:w="433"/>
        <w:gridCol w:w="2098"/>
        <w:gridCol w:w="153"/>
        <w:gridCol w:w="1498"/>
        <w:gridCol w:w="3298"/>
      </w:tblGrid>
      <w:tr w:rsidR="00087602" w:rsidTr="00087602">
        <w:tc>
          <w:tcPr>
            <w:tcW w:w="960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602" w:rsidRDefault="00087602">
            <w:pPr>
              <w:spacing w:line="276" w:lineRule="auto"/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5715000" cy="1447800"/>
                  <wp:effectExtent l="19050" t="0" r="0" b="0"/>
                  <wp:docPr id="1" name="Image 1" descr="cid:image002.gif@01CDA0CE.3C074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gif@01CDA0CE.3C074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602" w:rsidTr="00087602">
        <w:tc>
          <w:tcPr>
            <w:tcW w:w="960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602" w:rsidRDefault="00087602">
            <w:pPr>
              <w:spacing w:line="276" w:lineRule="auto"/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</w:p>
          <w:p w:rsidR="00087602" w:rsidRDefault="00087602">
            <w:pPr>
              <w:spacing w:line="276" w:lineRule="auto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Paris, 3 octobre 2012</w:t>
            </w:r>
          </w:p>
        </w:tc>
      </w:tr>
      <w:tr w:rsidR="00087602" w:rsidTr="00087602">
        <w:tc>
          <w:tcPr>
            <w:tcW w:w="960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8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89"/>
            </w:tblGrid>
            <w:tr w:rsidR="00087602">
              <w:trPr>
                <w:trHeight w:val="2018"/>
                <w:tblCellSpacing w:w="0" w:type="dxa"/>
              </w:trPr>
              <w:tc>
                <w:tcPr>
                  <w:tcW w:w="9189" w:type="dxa"/>
                  <w:vAlign w:val="center"/>
                </w:tcPr>
                <w:p w:rsidR="00087602" w:rsidRDefault="00087602">
                  <w:pPr>
                    <w:framePr w:hSpace="141" w:wrap="around" w:vAnchor="text" w:hAnchor="tex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</w:rPr>
                    <w:t> </w:t>
                  </w:r>
                </w:p>
                <w:p w:rsidR="00087602" w:rsidRDefault="00087602">
                  <w:pPr>
                    <w:framePr w:hSpace="141" w:wrap="around" w:vAnchor="text" w:hAnchor="tex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87602" w:rsidRDefault="00087602">
                  <w:pPr>
                    <w:framePr w:hSpace="141" w:wrap="around" w:vAnchor="text" w:hAnchor="text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Le Prix Découvertes 2012 RFI – FRANCE 24 </w:t>
                  </w:r>
                </w:p>
                <w:p w:rsidR="00087602" w:rsidRDefault="00087602">
                  <w:pPr>
                    <w:framePr w:hSpace="141" w:wrap="around" w:vAnchor="text" w:hAnchor="text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a été attribué à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0000"/>
                      <w:sz w:val="36"/>
                      <w:szCs w:val="36"/>
                    </w:rPr>
                    <w:t>Elemotho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 (Namibie)</w:t>
                  </w:r>
                </w:p>
                <w:p w:rsidR="00087602" w:rsidRDefault="00087602">
                  <w:pPr>
                    <w:framePr w:hSpace="141" w:wrap="around" w:vAnchor="text" w:hAnchor="text"/>
                    <w:jc w:val="center"/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</w:rPr>
                  </w:pPr>
                </w:p>
                <w:p w:rsidR="00087602" w:rsidRDefault="00087602">
                  <w:pPr>
                    <w:framePr w:hSpace="141" w:wrap="around" w:vAnchor="text" w:hAnchor="text"/>
                    <w:jc w:val="center"/>
                    <w:rPr>
                      <w:color w:val="1F497D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0"/>
                      <w:szCs w:val="20"/>
                    </w:rPr>
                    <w:drawing>
                      <wp:inline distT="0" distB="0" distL="0" distR="0">
                        <wp:extent cx="1057275" cy="1600200"/>
                        <wp:effectExtent l="19050" t="0" r="9525" b="0"/>
                        <wp:docPr id="2" name="Image 36" descr="cid:image006.jpg@01CDA157.B3ECA6F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6" descr="cid:image006.jpg@01CDA157.B3ECA6F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7602" w:rsidRDefault="00087602">
                  <w:pPr>
                    <w:framePr w:hSpace="141" w:wrap="around" w:vAnchor="text" w:hAnchor="text"/>
                    <w:jc w:val="center"/>
                    <w:rPr>
                      <w:rFonts w:ascii="Calibri" w:hAnsi="Calibri" w:cs="Calibri"/>
                      <w:color w:val="1F497D"/>
                      <w:sz w:val="22"/>
                      <w:szCs w:val="22"/>
                    </w:rPr>
                  </w:pPr>
                </w:p>
                <w:p w:rsidR="00087602" w:rsidRDefault="00087602">
                  <w:pPr>
                    <w:framePr w:hSpace="141" w:wrap="around" w:vAnchor="text" w:hAnchor="tex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Mardi 2 octobre à Paris, le jury du Prix Découvertes 2012 RFI-FRANCE 24, présidé par l’artiste béninoise</w:t>
                  </w: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Angélique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Kidjo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, a désigné le chanteur</w:t>
                  </w: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Elemotho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(Namibie) comme lauréat. Les artistes Trio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Teriba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(Benin) et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Takeifa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(Sénégal) sont arrivés respectivement en 2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et 3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position.</w:t>
                  </w:r>
                </w:p>
                <w:p w:rsidR="00087602" w:rsidRDefault="00087602">
                  <w:pPr>
                    <w:framePr w:hSpace="141" w:wrap="around" w:vAnchor="text" w:hAnchor="tex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65"/>
                    <w:gridCol w:w="7608"/>
                  </w:tblGrid>
                  <w:tr w:rsidR="00087602">
                    <w:tc>
                      <w:tcPr>
                        <w:tcW w:w="156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87602" w:rsidRDefault="00087602">
                        <w:pPr>
                          <w:framePr w:hSpace="141" w:wrap="around" w:vAnchor="text" w:hAnchor="text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color w:val="1F497D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00100" cy="1152525"/>
                              <wp:effectExtent l="19050" t="0" r="0" b="0"/>
                              <wp:docPr id="3" name="Image 3" descr="cid:image007.jpg@01CDA157.B3ECA6F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id:image007.jpg@01CDA157.B3ECA6F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1152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608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87602" w:rsidRDefault="00087602">
                        <w:pPr>
                          <w:framePr w:hSpace="141" w:wrap="around" w:vAnchor="text" w:hAnchor="text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Elemotho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G.R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Mosimane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est un artiste namibien originaire du désert du Kalahari. Auteur d'un premier album intitulé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 xml:space="preserve">The system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is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joke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cet auteur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compositeur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interprète se définit lui-même comme un "activiste musical". Il mixe les sonorités de sa terre natale et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les accents folk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des musiques anglo-saxonnes. Les morceaux sont interprétés en setswana, en anglais et dans d'autres langues de Namibie. Une collaboration avec le Centre Culturel Franco-Namibien a permis l'enregistrement d'un second album,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Human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1F497D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sorti en 2009.</w:t>
                        </w:r>
                      </w:p>
                      <w:p w:rsidR="00087602" w:rsidRDefault="00087602">
                        <w:pPr>
                          <w:framePr w:hSpace="141" w:wrap="around" w:vAnchor="text" w:hAnchor="text"/>
                          <w:jc w:val="both"/>
                          <w:rPr>
                            <w:rFonts w:ascii="Calibri" w:hAnsi="Calibri" w:cs="Calibri"/>
                            <w:b/>
                            <w:bCs/>
                            <w:color w:val="1F497D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87602" w:rsidRDefault="00087602">
                  <w:pPr>
                    <w:framePr w:hSpace="141" w:wrap="around" w:vAnchor="text" w:hAnchor="tex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Elemotho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 été choisi parmi les </w:t>
                  </w:r>
                  <w:hyperlink r:id="rId10" w:history="1">
                    <w:r>
                      <w:rPr>
                        <w:rStyle w:val="Lienhypertexte"/>
                        <w:rFonts w:ascii="Arial" w:hAnsi="Arial" w:cs="Arial"/>
                        <w:sz w:val="20"/>
                        <w:szCs w:val="20"/>
                      </w:rPr>
                      <w:t>dix finalistes de l’édition 2012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: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Anonyma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(Sénégal),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Lameck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Ditto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(Tanzanie),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GT The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Guitarman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(Nigeria),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Denis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Larose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(Ile Maurice),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Nasser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(Mauritanie),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Maryse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Ngula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(République Démocratique du Congo),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Spyrow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(Côte d’Ivoire),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Takeifa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(Sénégal) et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Trio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Teriba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(Bénin).</w:t>
                  </w:r>
                </w:p>
                <w:p w:rsidR="00087602" w:rsidRDefault="00087602">
                  <w:pPr>
                    <w:framePr w:hSpace="141" w:wrap="around" w:vAnchor="text" w:hAnchor="text"/>
                    <w:jc w:val="both"/>
                    <w:rPr>
                      <w:rFonts w:ascii="Calibri" w:hAnsi="Calibri" w:cs="Calibri"/>
                      <w:color w:val="1F497D"/>
                      <w:sz w:val="22"/>
                      <w:szCs w:val="22"/>
                    </w:rPr>
                  </w:pPr>
                </w:p>
                <w:p w:rsidR="00087602" w:rsidRDefault="00087602">
                  <w:pPr>
                    <w:framePr w:hSpace="141" w:wrap="around" w:vAnchor="text" w:hAnchor="tex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Le Prix Découvertes 2012 RFI – FRANCE 24 a rassemblé cette année plus de 500 candidatures venues d'Afrique et de l'Océan Indien.</w:t>
                  </w:r>
                </w:p>
                <w:p w:rsidR="00087602" w:rsidRDefault="00087602">
                  <w:pPr>
                    <w:framePr w:hSpace="141" w:wrap="around" w:vAnchor="text" w:hAnchor="text"/>
                    <w:jc w:val="both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087602" w:rsidRDefault="00087602">
                  <w:pPr>
                    <w:framePr w:hSpace="141" w:wrap="around" w:vAnchor="text" w:hAnchor="tex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Elemotho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remporte la récompense de 10 000 €, l’organisation d’un concert à Paris avec le soutien de l’Organisation International de la Francophonie (OIF) et la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Sacem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ainsi qu’une tournée en Afrique avec le concours de l’Institut Français. </w:t>
                  </w:r>
                </w:p>
                <w:p w:rsidR="00087602" w:rsidRDefault="00087602">
                  <w:pPr>
                    <w:framePr w:hSpace="141" w:wrap="around" w:vAnchor="text" w:hAnchor="text"/>
                    <w:spacing w:line="276" w:lineRule="auto"/>
                    <w:jc w:val="both"/>
                    <w:rPr>
                      <w:rFonts w:ascii="Calibri" w:hAnsi="Calibri" w:cs="Calibri"/>
                      <w:color w:val="1F497D"/>
                      <w:sz w:val="22"/>
                      <w:szCs w:val="22"/>
                    </w:rPr>
                  </w:pPr>
                </w:p>
              </w:tc>
            </w:tr>
          </w:tbl>
          <w:p w:rsidR="00087602" w:rsidRDefault="000876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rFonts w:ascii="Arial" w:hAnsi="Arial" w:cs="Arial"/>
                  <w:b/>
                  <w:bCs/>
                  <w:sz w:val="20"/>
                  <w:szCs w:val="20"/>
                </w:rPr>
                <w:t xml:space="preserve">Cliquez pour écouter </w:t>
              </w:r>
              <w:proofErr w:type="spellStart"/>
              <w:r>
                <w:rPr>
                  <w:rStyle w:val="Lienhypertexte"/>
                  <w:rFonts w:ascii="Arial" w:hAnsi="Arial" w:cs="Arial"/>
                  <w:b/>
                  <w:bCs/>
                  <w:sz w:val="20"/>
                  <w:szCs w:val="20"/>
                </w:rPr>
                <w:t>Elemotho</w:t>
              </w:r>
              <w:proofErr w:type="spellEnd"/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087602" w:rsidRDefault="00087602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  <w:u w:val="single"/>
              </w:rPr>
            </w:pPr>
          </w:p>
          <w:p w:rsidR="00087602" w:rsidRDefault="0008760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u w:val="single"/>
              </w:rPr>
            </w:pPr>
          </w:p>
          <w:p w:rsidR="00087602" w:rsidRDefault="0008760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A propos du Prix Découvertes RFI – FRANCE 24 </w:t>
            </w:r>
          </w:p>
          <w:p w:rsidR="00087602" w:rsidRDefault="0008760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Organisé depuis 1981, le Prix Découvertes RFI a contribué au lancement de nombreux artistes qui ont depuis conquis un public international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Tiken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Fakoly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Amadou et Mariam,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Rokia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Traoré. Son Jury, composé de professionnels, est chaque année présidé par une personnalité (Jacob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Desvarieux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Passi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Youssou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N’Dour…). 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Baptisé depuis cette année Prix Découvertes RFI-FRANCE 24</w:t>
            </w:r>
            <w:r>
              <w:rPr>
                <w:rFonts w:ascii="Arial" w:hAnsi="Arial" w:cs="Arial"/>
                <w:sz w:val="16"/>
                <w:szCs w:val="16"/>
              </w:rPr>
              <w:t xml:space="preserve">, ce prix est organisé en partenariat avec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Sacem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l’Institut Français et l’Organisation Internationale de la Francophonie. </w:t>
            </w:r>
          </w:p>
          <w:p w:rsidR="00087602" w:rsidRDefault="00087602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  <w:u w:val="single"/>
              </w:rPr>
            </w:pPr>
          </w:p>
          <w:p w:rsidR="00087602" w:rsidRDefault="00087602">
            <w:pPr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 propos de l’</w:t>
            </w:r>
            <w:r>
              <w:rPr>
                <w:rFonts w:ascii="Arial" w:hAnsi="Arial" w:cs="Arial"/>
                <w:b/>
                <w:bCs/>
                <w:caps/>
                <w:sz w:val="16"/>
                <w:szCs w:val="16"/>
                <w:u w:val="single"/>
              </w:rPr>
              <w:t>Audiovisuel Extérieur de la France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(AEF)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:rsidR="00087602" w:rsidRDefault="00087602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L’Audiovisuel Extérieur de la France est une société de service public qui réunit FRANCE 24, Monte Carlo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Doualiya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RFI. Premier groupe média français d’information internationale, l’AEF est présent partout dans le monde, 24h/24, sur tous les supports : télévision, radio, internet, mobiles, tablettes. L'AEF est actionnaire minoritaire de TV5MONDE dont elle détient 49%.</w:t>
            </w:r>
          </w:p>
          <w:p w:rsidR="00087602" w:rsidRDefault="00087602">
            <w:pPr>
              <w:pStyle w:val="default1"/>
              <w:spacing w:line="276" w:lineRule="auto"/>
              <w:ind w:left="255" w:right="300"/>
            </w:pPr>
            <w:r>
              <w:rPr>
                <w:b/>
                <w:bCs/>
                <w:color w:val="000080"/>
                <w:sz w:val="2"/>
                <w:szCs w:val="2"/>
              </w:rPr>
              <w:t> </w:t>
            </w:r>
          </w:p>
          <w:p w:rsidR="00087602" w:rsidRDefault="00087602">
            <w:pPr>
              <w:pStyle w:val="default1"/>
              <w:spacing w:line="276" w:lineRule="auto"/>
              <w:ind w:right="300"/>
            </w:pPr>
            <w:r>
              <w:rPr>
                <w:color w:val="000080"/>
                <w:sz w:val="16"/>
                <w:szCs w:val="16"/>
                <w:lang w:val="en-US"/>
              </w:rPr>
              <w:t> </w:t>
            </w:r>
          </w:p>
        </w:tc>
      </w:tr>
      <w:tr w:rsidR="00087602" w:rsidTr="00087602">
        <w:tc>
          <w:tcPr>
            <w:tcW w:w="960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602" w:rsidRDefault="00087602">
            <w:pPr>
              <w:spacing w:line="276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087602" w:rsidTr="00087602">
        <w:tc>
          <w:tcPr>
            <w:tcW w:w="2264" w:type="dxa"/>
            <w:gridSpan w:val="2"/>
            <w:hideMark/>
          </w:tcPr>
          <w:p w:rsidR="00087602" w:rsidRDefault="00087602">
            <w:pPr>
              <w:spacing w:line="276" w:lineRule="auto"/>
            </w:pPr>
            <w:bookmarkStart w:id="0" w:name="OLE_LINK5"/>
            <w:bookmarkStart w:id="1" w:name="OLE_LINK6"/>
            <w:bookmarkEnd w:id="0"/>
            <w:bookmarkEnd w:id="1"/>
            <w:r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Contact :</w:t>
            </w:r>
          </w:p>
          <w:p w:rsidR="00087602" w:rsidRDefault="00087602">
            <w:pPr>
              <w:spacing w:line="276" w:lineRule="auto"/>
            </w:pPr>
            <w:r>
              <w:rPr>
                <w:rFonts w:ascii="Arial" w:hAnsi="Arial" w:cs="Arial"/>
                <w:b/>
                <w:bCs/>
                <w:color w:val="1F497D"/>
                <w:sz w:val="16"/>
                <w:szCs w:val="16"/>
                <w:lang w:val="en-GB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Amal HMIMED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602" w:rsidRDefault="00087602">
            <w:pPr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 </w:t>
            </w:r>
          </w:p>
          <w:p w:rsidR="00087602" w:rsidRDefault="00087602">
            <w:pPr>
              <w:spacing w:line="276" w:lineRule="auto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Attachée de presse</w:t>
            </w:r>
          </w:p>
          <w:p w:rsidR="00087602" w:rsidRDefault="00087602">
            <w:pPr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602" w:rsidRDefault="00087602">
            <w:pPr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87602" w:rsidRDefault="00087602">
            <w:pPr>
              <w:spacing w:line="276" w:lineRule="auto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Tél : 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84 22 74 15</w:t>
            </w:r>
          </w:p>
          <w:p w:rsidR="00087602" w:rsidRDefault="00087602">
            <w:pPr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602" w:rsidRDefault="00087602">
            <w:pPr>
              <w:spacing w:line="276" w:lineRule="auto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87602" w:rsidRDefault="00087602">
            <w:pPr>
              <w:spacing w:line="276" w:lineRule="auto"/>
              <w:jc w:val="right"/>
            </w:pPr>
            <w:hyperlink r:id="rId12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ahmimed@france24.com</w:t>
              </w:r>
            </w:hyperlink>
          </w:p>
          <w:p w:rsidR="00087602" w:rsidRDefault="00087602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  <w:p w:rsidR="00087602" w:rsidRDefault="00087602">
            <w:pPr>
              <w:spacing w:line="276" w:lineRule="auto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87602" w:rsidTr="00087602">
        <w:tc>
          <w:tcPr>
            <w:tcW w:w="960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602" w:rsidRDefault="00087602">
            <w:pPr>
              <w:spacing w:line="276" w:lineRule="auto"/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5762625" cy="409575"/>
                  <wp:effectExtent l="19050" t="0" r="9525" b="0"/>
                  <wp:docPr id="4" name="Image 4" descr="cid:image005.jpg@01CDA0CE.3C074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5.jpg@01CDA0CE.3C074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602" w:rsidTr="00087602">
        <w:tc>
          <w:tcPr>
            <w:tcW w:w="1824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  <w:tc>
          <w:tcPr>
            <w:tcW w:w="440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  <w:tc>
          <w:tcPr>
            <w:tcW w:w="2126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  <w:tc>
          <w:tcPr>
            <w:tcW w:w="152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  <w:tc>
          <w:tcPr>
            <w:tcW w:w="1620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  <w:tc>
          <w:tcPr>
            <w:tcW w:w="3443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</w:tr>
      <w:tr w:rsidR="00087602" w:rsidTr="00087602">
        <w:tc>
          <w:tcPr>
            <w:tcW w:w="1824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  <w:tc>
          <w:tcPr>
            <w:tcW w:w="440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  <w:tc>
          <w:tcPr>
            <w:tcW w:w="2126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  <w:tc>
          <w:tcPr>
            <w:tcW w:w="152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  <w:tc>
          <w:tcPr>
            <w:tcW w:w="1620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  <w:tc>
          <w:tcPr>
            <w:tcW w:w="3443" w:type="dxa"/>
            <w:vAlign w:val="center"/>
            <w:hideMark/>
          </w:tcPr>
          <w:p w:rsidR="00087602" w:rsidRDefault="00087602">
            <w:pPr>
              <w:spacing w:line="276" w:lineRule="auto"/>
            </w:pPr>
            <w:r>
              <w:t> </w:t>
            </w:r>
          </w:p>
        </w:tc>
      </w:tr>
    </w:tbl>
    <w:p w:rsidR="00687955" w:rsidRDefault="00087602"/>
    <w:sectPr w:rsidR="00687955" w:rsidSect="0008760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602"/>
    <w:rsid w:val="00087602"/>
    <w:rsid w:val="004B5F0C"/>
    <w:rsid w:val="0095149C"/>
    <w:rsid w:val="00C3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0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87602"/>
    <w:rPr>
      <w:color w:val="0000FF"/>
      <w:u w:val="single"/>
    </w:rPr>
  </w:style>
  <w:style w:type="paragraph" w:customStyle="1" w:styleId="default1">
    <w:name w:val="default1"/>
    <w:basedOn w:val="Normal"/>
    <w:uiPriority w:val="99"/>
    <w:rsid w:val="00087602"/>
    <w:pPr>
      <w:autoSpaceDE w:val="0"/>
      <w:autoSpaceDN w:val="0"/>
    </w:pPr>
    <w:rPr>
      <w:rFonts w:ascii="Arial" w:hAnsi="Arial" w:cs="Arial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76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602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cid:image006.jpg@01CDA157.B3ECA6F0" TargetMode="External"/><Relationship Id="rId12" Type="http://schemas.openxmlformats.org/officeDocument/2006/relationships/hyperlink" Target="mailto:ahmimed@france24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rfimusique.com/actu-musique/musique-africaine/album/20120914-elemotho" TargetMode="External"/><Relationship Id="rId5" Type="http://schemas.openxmlformats.org/officeDocument/2006/relationships/image" Target="cid:image002.gif@01CDA0CE.3C07493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fimusique.com/prix-decouvertes-rfi" TargetMode="External"/><Relationship Id="rId4" Type="http://schemas.openxmlformats.org/officeDocument/2006/relationships/image" Target="media/image1.gif"/><Relationship Id="rId9" Type="http://schemas.openxmlformats.org/officeDocument/2006/relationships/image" Target="cid:image007.jpg@01CDA157.B3ECA6F0" TargetMode="External"/><Relationship Id="rId14" Type="http://schemas.openxmlformats.org/officeDocument/2006/relationships/image" Target="cid:image005.jpg@01CDA0CE.3C07493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2508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ahmimed</dc:creator>
  <cp:lastModifiedBy>ahmimed</cp:lastModifiedBy>
  <cp:revision>1</cp:revision>
  <dcterms:created xsi:type="dcterms:W3CDTF">2012-10-03T09:20:00Z</dcterms:created>
  <dcterms:modified xsi:type="dcterms:W3CDTF">2012-10-03T09:22:00Z</dcterms:modified>
</cp:coreProperties>
</file>