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C2D" w:rsidRDefault="005A26CD">
      <w:pPr>
        <w:spacing w:after="462" w:line="240" w:lineRule="auto"/>
        <w:ind w:left="0" w:right="2" w:firstLine="0"/>
        <w:jc w:val="right"/>
      </w:pPr>
      <w:bookmarkStart w:id="0" w:name="_GoBack"/>
      <w:bookmarkEnd w:id="0"/>
      <w:r>
        <w:t>July 26, 2013</w:t>
      </w:r>
    </w:p>
    <w:p w:rsidR="00DA7C2D" w:rsidRDefault="005A26CD">
      <w:pPr>
        <w:spacing w:after="178" w:line="222" w:lineRule="auto"/>
        <w:ind w:left="0" w:right="0" w:firstLine="0"/>
        <w:jc w:val="left"/>
      </w:pPr>
      <w:r>
        <w:rPr>
          <w:b/>
          <w:color w:val="B70005"/>
          <w:sz w:val="31"/>
        </w:rPr>
        <w:t>PATIENT INJURIES AND LAWSUITS INVOLVING MEDICAL LASERS ARE INCREASING. IS YOUR PRACTICE COMPLIANT WITH SAFETY REGULATIONS?</w:t>
      </w:r>
      <w:r>
        <w:rPr>
          <w:noProof/>
        </w:rPr>
        <w:drawing>
          <wp:anchor distT="0" distB="0" distL="114300" distR="114300" simplePos="0" relativeHeight="251658240" behindDoc="0" locked="0" layoutInCell="1" allowOverlap="0">
            <wp:simplePos x="0" y="0"/>
            <wp:positionH relativeFrom="page">
              <wp:posOffset>144005</wp:posOffset>
            </wp:positionH>
            <wp:positionV relativeFrom="page">
              <wp:posOffset>143992</wp:posOffset>
            </wp:positionV>
            <wp:extent cx="7488937" cy="1365504"/>
            <wp:effectExtent l="0" t="0" r="0" b="0"/>
            <wp:wrapTopAndBottom/>
            <wp:docPr id="919" name="Picture 919"/>
            <wp:cNvGraphicFramePr/>
            <a:graphic xmlns:a="http://schemas.openxmlformats.org/drawingml/2006/main">
              <a:graphicData uri="http://schemas.openxmlformats.org/drawingml/2006/picture">
                <pic:pic xmlns:pic="http://schemas.openxmlformats.org/drawingml/2006/picture">
                  <pic:nvPicPr>
                    <pic:cNvPr id="919" name="Picture 919"/>
                    <pic:cNvPicPr/>
                  </pic:nvPicPr>
                  <pic:blipFill>
                    <a:blip r:embed="rId5"/>
                    <a:stretch>
                      <a:fillRect/>
                    </a:stretch>
                  </pic:blipFill>
                  <pic:spPr>
                    <a:xfrm>
                      <a:off x="0" y="0"/>
                      <a:ext cx="7488937" cy="1365504"/>
                    </a:xfrm>
                    <a:prstGeom prst="rect">
                      <a:avLst/>
                    </a:prstGeom>
                  </pic:spPr>
                </pic:pic>
              </a:graphicData>
            </a:graphic>
          </wp:anchor>
        </w:drawing>
      </w:r>
    </w:p>
    <w:p w:rsidR="00DA7C2D" w:rsidRDefault="005A26CD">
      <w:r>
        <w:t>In 2007, the majority of physicians responding to an American Society for Dermatologic Surgery (“ASDS”) survey reported that the number of patients they were treating for complications caused by non-physicians was increasing. These complications frequently</w:t>
      </w:r>
      <w:r>
        <w:t xml:space="preserve"> involved burns caused by the improper use of lasers, scarring caused by chemical peels, hyperpigmentation caused by laser hair removal and many instances of skin cancer being overlooked due to the removal of malignant tissue that could have otherwise serv</w:t>
      </w:r>
      <w:r>
        <w:t>ed as a warning sign.</w:t>
      </w:r>
    </w:p>
    <w:p w:rsidR="00DA7C2D" w:rsidRDefault="005A26CD">
      <w:r>
        <w:t xml:space="preserve">An </w:t>
      </w:r>
      <w:hyperlink r:id="rId6">
        <w:r>
          <w:rPr>
            <w:color w:val="B70005"/>
          </w:rPr>
          <w:t>article</w:t>
        </w:r>
      </w:hyperlink>
      <w:r>
        <w:t xml:space="preserve"> published in the February issue of JAMA Dermatology looked specifically at malpractice litigation from 1985 to 2012 involving dermatologic la</w:t>
      </w:r>
      <w:r>
        <w:t>ser procedures and concluded that litigation has been increasing and is resulting in indemnity payments that exceed the previously reported average across all medical specialties. Like the ASDS survey, the article found laser hair removal, burns, scars and</w:t>
      </w:r>
      <w:r>
        <w:t xml:space="preserve"> pigmentary alterations to be highly associated with litigation. The article also found that non-physicians were frequently named in the litigation as operators of the laser equipment.</w:t>
      </w:r>
    </w:p>
    <w:p w:rsidR="00DA7C2D" w:rsidRDefault="005A26CD">
      <w:r>
        <w:t>But patient injury is not the only growing concern for physicians who u</w:t>
      </w:r>
      <w:r>
        <w:t xml:space="preserve">tilize medical lasers in their practices. Employees working near medical lasers can also be injured when exposed to lasers and related radiation. According to a joint </w:t>
      </w:r>
      <w:hyperlink r:id="rId7">
        <w:r>
          <w:rPr>
            <w:color w:val="B70005"/>
          </w:rPr>
          <w:t>report</w:t>
        </w:r>
      </w:hyperlink>
      <w:r>
        <w:t xml:space="preserve"> from the American A</w:t>
      </w:r>
      <w:r>
        <w:t>ssociation of Physicists in Medicine and the American College of Medical Physics, about 500,000 to 700,000 health care workers in the United States are involved in the use of medical lasers. Some of the major accidents involving employees identified in the</w:t>
      </w:r>
      <w:r>
        <w:t xml:space="preserve"> report are:</w:t>
      </w:r>
    </w:p>
    <w:p w:rsidR="00DA7C2D" w:rsidRDefault="005A26CD">
      <w:pPr>
        <w:numPr>
          <w:ilvl w:val="0"/>
          <w:numId w:val="1"/>
        </w:numPr>
        <w:spacing w:after="16"/>
        <w:ind w:hanging="192"/>
      </w:pPr>
      <w:r>
        <w:t>Available eye protection not used;</w:t>
      </w:r>
    </w:p>
    <w:p w:rsidR="00DA7C2D" w:rsidRDefault="005A26CD">
      <w:pPr>
        <w:numPr>
          <w:ilvl w:val="0"/>
          <w:numId w:val="1"/>
        </w:numPr>
        <w:spacing w:after="16"/>
        <w:ind w:hanging="192"/>
      </w:pPr>
      <w:r>
        <w:t>Intentional exposure of unprotected personnel;</w:t>
      </w:r>
    </w:p>
    <w:p w:rsidR="00DA7C2D" w:rsidRDefault="005A26CD">
      <w:pPr>
        <w:numPr>
          <w:ilvl w:val="0"/>
          <w:numId w:val="1"/>
        </w:numPr>
        <w:spacing w:after="16"/>
        <w:ind w:hanging="192"/>
      </w:pPr>
      <w:r>
        <w:t>Operators unfamiliar with laser equipment;</w:t>
      </w:r>
    </w:p>
    <w:p w:rsidR="00DA7C2D" w:rsidRDefault="005A26CD">
      <w:pPr>
        <w:numPr>
          <w:ilvl w:val="0"/>
          <w:numId w:val="1"/>
        </w:numPr>
        <w:spacing w:after="16"/>
        <w:ind w:hanging="192"/>
      </w:pPr>
      <w:r>
        <w:t>Lack of protection for ancillary hazards;</w:t>
      </w:r>
    </w:p>
    <w:p w:rsidR="00DA7C2D" w:rsidRDefault="005A26CD">
      <w:pPr>
        <w:numPr>
          <w:ilvl w:val="0"/>
          <w:numId w:val="1"/>
        </w:numPr>
        <w:spacing w:after="16"/>
        <w:ind w:hanging="192"/>
      </w:pPr>
      <w:r>
        <w:t>Failure to follow standard operating procedures; and</w:t>
      </w:r>
    </w:p>
    <w:p w:rsidR="00DA7C2D" w:rsidRDefault="005A26CD">
      <w:pPr>
        <w:numPr>
          <w:ilvl w:val="0"/>
          <w:numId w:val="1"/>
        </w:numPr>
        <w:ind w:hanging="192"/>
      </w:pPr>
      <w:r>
        <w:t>Accidental eye/skin exp</w:t>
      </w:r>
      <w:r>
        <w:t>osure during use.</w:t>
      </w:r>
    </w:p>
    <w:p w:rsidR="00DA7C2D" w:rsidRDefault="005A26CD">
      <w:r>
        <w:t>Regulation of Medical Lasers</w:t>
      </w:r>
    </w:p>
    <w:p w:rsidR="00DA7C2D" w:rsidRDefault="005A26CD">
      <w:r>
        <w:t>Historically, few states have regulated the use of lasers for medical purposes. However, with the increased use of medical lasers in medical spas, combined with the increase in reported patient and employee in</w:t>
      </w:r>
      <w:r>
        <w:t xml:space="preserve">juries, many states have reevaluated or are currently reevaluating their laser safety regulatory controls. Some states, including Arizona and Florida, have adopted model regulations developed by the Conference of Radiation Control Program Directors. Other </w:t>
      </w:r>
      <w:r>
        <w:t>states that have enacted some form of regulation include Alaska, Arkansas, Georgia, Illinois, Massachusetts, Montana, New York, Pennsylvania, Texas and Washington. Other states, such as Indiana, point to the U.S. Occupational Safety and Health Administrati</w:t>
      </w:r>
      <w:r>
        <w:t xml:space="preserve">on’s (“OSHA”) regulations and </w:t>
      </w:r>
      <w:hyperlink r:id="rId8">
        <w:r>
          <w:rPr>
            <w:color w:val="B70005"/>
          </w:rPr>
          <w:t>Technical Manuals</w:t>
        </w:r>
      </w:hyperlink>
      <w:r>
        <w:t xml:space="preserve"> as the basis for their own oversight.</w:t>
      </w:r>
    </w:p>
    <w:p w:rsidR="00DA7C2D" w:rsidRDefault="005A26CD">
      <w:r>
        <w:t>OSHA, in turn, mostly defers to the Z136 laser standards developed by the American National St</w:t>
      </w:r>
      <w:r>
        <w:t>andards Institute (“ANSI”), which is a non-regulatory, non-governmental agency that develops voluntary standards used throughout many industries. Similarly, the U.S. Food and Drug Administration (“FDA”) regulatory scheme for medical lasers is closely align</w:t>
      </w:r>
      <w:r>
        <w:t>ed to the standards and risk classifications developed by ANSI. ANSI’s Z136.3 standard for medical lasers is even used by The Joint Commission in its accreditation of health care organizations. The standard is also frequently used as an exhibit reference d</w:t>
      </w:r>
      <w:r>
        <w:t>uring malpractice and product liability litigation.</w:t>
      </w:r>
    </w:p>
    <w:p w:rsidR="00DA7C2D" w:rsidRDefault="005A26CD">
      <w:r>
        <w:t>Classification of Risk</w:t>
      </w:r>
    </w:p>
    <w:p w:rsidR="00DA7C2D" w:rsidRDefault="005A26CD">
      <w:r>
        <w:t>The ANSI standards are based on the level of risk presented by a laser. Generally lasers can be grouped into one of five categories of risk:</w:t>
      </w:r>
    </w:p>
    <w:p w:rsidR="00DA7C2D" w:rsidRDefault="005A26CD">
      <w:pPr>
        <w:numPr>
          <w:ilvl w:val="0"/>
          <w:numId w:val="2"/>
        </w:numPr>
        <w:spacing w:after="16"/>
        <w:ind w:hanging="192"/>
      </w:pPr>
      <w:r>
        <w:t xml:space="preserve">Class 1: cannot emit laser radiation at </w:t>
      </w:r>
      <w:r>
        <w:t>known hazard levels.</w:t>
      </w:r>
    </w:p>
    <w:p w:rsidR="00DA7C2D" w:rsidRDefault="005A26CD">
      <w:pPr>
        <w:numPr>
          <w:ilvl w:val="0"/>
          <w:numId w:val="2"/>
        </w:numPr>
        <w:spacing w:after="16"/>
        <w:ind w:hanging="192"/>
      </w:pPr>
      <w:r>
        <w:t>Class 2: low-power visible lasers that emit above Class 1 levels but at a radiant power not above 1 mW.</w:t>
      </w:r>
    </w:p>
    <w:p w:rsidR="00DA7C2D" w:rsidRDefault="005A26CD">
      <w:pPr>
        <w:numPr>
          <w:ilvl w:val="0"/>
          <w:numId w:val="2"/>
        </w:numPr>
        <w:spacing w:after="16"/>
        <w:ind w:hanging="192"/>
      </w:pPr>
      <w:r>
        <w:t>Class 3A: intermediate power lasers (cw: 1-5 mW). Only hazardous for intrabeam viewing.</w:t>
      </w:r>
    </w:p>
    <w:p w:rsidR="00DA7C2D" w:rsidRDefault="005A26CD">
      <w:pPr>
        <w:numPr>
          <w:ilvl w:val="0"/>
          <w:numId w:val="2"/>
        </w:numPr>
        <w:ind w:hanging="192"/>
      </w:pPr>
      <w:r>
        <w:lastRenderedPageBreak/>
        <w:t>Class 3B: moderate power lasers (cw: 5-500 mW, pulsed: 10 J/cm2 or the diffuse reflection limit, whichever is lower).</w:t>
      </w:r>
      <w:r>
        <w:rPr>
          <w:noProof/>
        </w:rPr>
        <w:drawing>
          <wp:anchor distT="0" distB="0" distL="114300" distR="114300" simplePos="0" relativeHeight="251659264" behindDoc="0" locked="0" layoutInCell="1" allowOverlap="0">
            <wp:simplePos x="0" y="0"/>
            <wp:positionH relativeFrom="page">
              <wp:posOffset>144005</wp:posOffset>
            </wp:positionH>
            <wp:positionV relativeFrom="page">
              <wp:posOffset>9578746</wp:posOffset>
            </wp:positionV>
            <wp:extent cx="7484402" cy="335661"/>
            <wp:effectExtent l="0" t="0" r="0" b="0"/>
            <wp:wrapTopAndBottom/>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7484402" cy="335661"/>
                    </a:xfrm>
                    <a:prstGeom prst="rect">
                      <a:avLst/>
                    </a:prstGeom>
                  </pic:spPr>
                </pic:pic>
              </a:graphicData>
            </a:graphic>
          </wp:anchor>
        </w:drawing>
      </w:r>
    </w:p>
    <w:p w:rsidR="00DA7C2D" w:rsidRDefault="005A26CD">
      <w:pPr>
        <w:numPr>
          <w:ilvl w:val="0"/>
          <w:numId w:val="2"/>
        </w:numPr>
        <w:spacing w:after="130" w:line="231" w:lineRule="auto"/>
        <w:ind w:hanging="192"/>
      </w:pPr>
      <w:r>
        <w:t>Class 4: High power lasers (cw: 500 mW, pulsed: 10 J/cm2 or the diffuse reflection limit) are hazardous to view under any condition (dire</w:t>
      </w:r>
      <w:r>
        <w:t>ctly or diffusely scattered) and are a potential fire hazard and a skin hazard. Significant controls are required of Class 4 laser facilities. Most medical lasers fall into the Class 4 category.</w:t>
      </w:r>
      <w:r>
        <w:rPr>
          <w:noProof/>
        </w:rPr>
        <w:drawing>
          <wp:anchor distT="0" distB="0" distL="114300" distR="114300" simplePos="0" relativeHeight="251660288" behindDoc="0" locked="0" layoutInCell="1" allowOverlap="0">
            <wp:simplePos x="0" y="0"/>
            <wp:positionH relativeFrom="page">
              <wp:posOffset>144005</wp:posOffset>
            </wp:positionH>
            <wp:positionV relativeFrom="page">
              <wp:posOffset>143993</wp:posOffset>
            </wp:positionV>
            <wp:extent cx="7488937" cy="405384"/>
            <wp:effectExtent l="0" t="0" r="0" b="0"/>
            <wp:wrapTopAndBottom/>
            <wp:docPr id="1049" name="Picture 1049"/>
            <wp:cNvGraphicFramePr/>
            <a:graphic xmlns:a="http://schemas.openxmlformats.org/drawingml/2006/main">
              <a:graphicData uri="http://schemas.openxmlformats.org/drawingml/2006/picture">
                <pic:pic xmlns:pic="http://schemas.openxmlformats.org/drawingml/2006/picture">
                  <pic:nvPicPr>
                    <pic:cNvPr id="1049" name="Picture 1049"/>
                    <pic:cNvPicPr/>
                  </pic:nvPicPr>
                  <pic:blipFill>
                    <a:blip r:embed="rId10"/>
                    <a:stretch>
                      <a:fillRect/>
                    </a:stretch>
                  </pic:blipFill>
                  <pic:spPr>
                    <a:xfrm>
                      <a:off x="0" y="0"/>
                      <a:ext cx="7488937" cy="405384"/>
                    </a:xfrm>
                    <a:prstGeom prst="rect">
                      <a:avLst/>
                    </a:prstGeom>
                  </pic:spPr>
                </pic:pic>
              </a:graphicData>
            </a:graphic>
          </wp:anchor>
        </w:drawing>
      </w:r>
    </w:p>
    <w:p w:rsidR="00DA7C2D" w:rsidRDefault="005A26CD">
      <w:r>
        <w:t>Classification of risk may not be as simple as reading the m</w:t>
      </w:r>
      <w:r>
        <w:t>anufacturer’s label on the laser machine, however. Risk classification can change when a laser is modified to perform different medical procedures. In those situations, the owner/operator of the laser is responsible for understanding the differing classifi</w:t>
      </w:r>
      <w:r>
        <w:t>cation potentials based on factors such as measurement of the laser emission, determination of the emission pulse characteristics, evaluation of various performance requirements (protective housing, interlocks, etc.) and taking the appropriate safety measu</w:t>
      </w:r>
      <w:r>
        <w:t>res.</w:t>
      </w:r>
    </w:p>
    <w:p w:rsidR="00DA7C2D" w:rsidRDefault="005A26CD">
      <w:r>
        <w:t>Additionally, with the recent development of non-laser devices for laser-like applications (e.g., vascular anomalies, pigmented lesions, tattoo removal and hair removal), the scheme employed to classify a laser system has also become significant in de</w:t>
      </w:r>
      <w:r>
        <w:t>termining who may legally use this equipment. For example, intense pulsed light (“IPL”) sources are technically not lasers because they are not monochromatic and the light is not collimated. As a result, some states’ regulations specifying whether non-phys</w:t>
      </w:r>
      <w:r>
        <w:t>icians may perform medical laser procedures may not apply to IPL machines.</w:t>
      </w:r>
    </w:p>
    <w:p w:rsidR="00DA7C2D" w:rsidRDefault="005A26CD">
      <w:r>
        <w:t>Laser Safety Programs</w:t>
      </w:r>
    </w:p>
    <w:p w:rsidR="00DA7C2D" w:rsidRDefault="005A26CD">
      <w:r>
        <w:t xml:space="preserve">Depending on the risk classification of a laser, different safety activities should be undertaken. Although this article is not intended to be a comprehensive </w:t>
      </w:r>
      <w:r>
        <w:t>discussion of safety standards relating to the operation of lasers, the following common safety activities are highlighted for illustration purposes:</w:t>
      </w:r>
    </w:p>
    <w:p w:rsidR="00DA7C2D" w:rsidRDefault="005A26CD">
      <w:pPr>
        <w:numPr>
          <w:ilvl w:val="0"/>
          <w:numId w:val="3"/>
        </w:numPr>
        <w:spacing w:after="16"/>
        <w:ind w:hanging="192"/>
      </w:pPr>
      <w:r>
        <w:t>Employees are furnished with suitable laser safety goggles, gloves and other protective clothing.</w:t>
      </w:r>
    </w:p>
    <w:p w:rsidR="00DA7C2D" w:rsidRDefault="005A26CD">
      <w:pPr>
        <w:numPr>
          <w:ilvl w:val="0"/>
          <w:numId w:val="3"/>
        </w:numPr>
        <w:spacing w:after="16"/>
        <w:ind w:hanging="192"/>
      </w:pPr>
      <w:r>
        <w:t>Only qua</w:t>
      </w:r>
      <w:r>
        <w:t>lified and trained employees are allowed to install, adjust and operate laser equipment.</w:t>
      </w:r>
    </w:p>
    <w:p w:rsidR="00DA7C2D" w:rsidRDefault="005A26CD">
      <w:pPr>
        <w:numPr>
          <w:ilvl w:val="0"/>
          <w:numId w:val="3"/>
        </w:numPr>
        <w:spacing w:after="16"/>
        <w:ind w:hanging="192"/>
      </w:pPr>
      <w:r>
        <w:t>The facility develops and regularly maintains written policies and standard operating procedures.</w:t>
      </w:r>
    </w:p>
    <w:p w:rsidR="00DA7C2D" w:rsidRDefault="005A26CD">
      <w:pPr>
        <w:numPr>
          <w:ilvl w:val="0"/>
          <w:numId w:val="3"/>
        </w:numPr>
        <w:spacing w:after="16" w:line="231" w:lineRule="auto"/>
        <w:ind w:hanging="192"/>
      </w:pPr>
      <w:r>
        <w:t>Regular maintenance and service of laser equipment is performed accor</w:t>
      </w:r>
      <w:r>
        <w:t>ding to ANSI standards and the Quality Control and Radiation Safety tests as recommended in the 1991 ACMP document, “Radiation Control and QA of Medical Laser Systems.”</w:t>
      </w:r>
    </w:p>
    <w:p w:rsidR="00DA7C2D" w:rsidRDefault="005A26CD">
      <w:pPr>
        <w:numPr>
          <w:ilvl w:val="0"/>
          <w:numId w:val="3"/>
        </w:numPr>
        <w:spacing w:after="16"/>
        <w:ind w:hanging="192"/>
      </w:pPr>
      <w:r>
        <w:t>A Laser Safety Officer is designated to ensure regulatory compliance, personnel trainin</w:t>
      </w:r>
      <w:r>
        <w:t>g and general laser safety.</w:t>
      </w:r>
    </w:p>
    <w:p w:rsidR="00DA7C2D" w:rsidRDefault="005A26CD">
      <w:pPr>
        <w:numPr>
          <w:ilvl w:val="0"/>
          <w:numId w:val="3"/>
        </w:numPr>
        <w:spacing w:after="16"/>
        <w:ind w:hanging="192"/>
      </w:pPr>
      <w:r>
        <w:t>Laser operators and related personnel are properly trained and have the necessary experience.</w:t>
      </w:r>
    </w:p>
    <w:p w:rsidR="00DA7C2D" w:rsidRDefault="005A26CD">
      <w:pPr>
        <w:numPr>
          <w:ilvl w:val="0"/>
          <w:numId w:val="3"/>
        </w:numPr>
        <w:spacing w:after="16"/>
        <w:ind w:hanging="192"/>
      </w:pPr>
      <w:r>
        <w:t>Onlookers to laser procedures are warned, through informed consent documents and/or signage, about the presence of potentially hazardo</w:t>
      </w:r>
      <w:r>
        <w:t>us laser radiation and of relevant safety precautions.</w:t>
      </w:r>
    </w:p>
    <w:p w:rsidR="00DA7C2D" w:rsidRDefault="005A26CD">
      <w:pPr>
        <w:numPr>
          <w:ilvl w:val="0"/>
          <w:numId w:val="3"/>
        </w:numPr>
        <w:ind w:hanging="192"/>
      </w:pPr>
      <w:r>
        <w:t>Adverse events are reported to the manufacturer of the laser equipment and to the FDA as applicable.</w:t>
      </w:r>
    </w:p>
    <w:p w:rsidR="00DA7C2D" w:rsidRDefault="005A26CD">
      <w:r>
        <w:t>Additional responsibilities and recommendations are further explored in ANSI’s Z136 standards.</w:t>
      </w:r>
    </w:p>
    <w:p w:rsidR="00DA7C2D" w:rsidRDefault="005A26CD">
      <w:r>
        <w:t>Practical Takeaways</w:t>
      </w:r>
    </w:p>
    <w:p w:rsidR="00DA7C2D" w:rsidRDefault="005A26CD">
      <w:r>
        <w:t>As recent injury and subsequent litigation trends have made clear, the use of medical lasers, especially by non-physicians, is a growing concern for patients and regulators. Compliance with applicable regulations and industry best pract</w:t>
      </w:r>
      <w:r>
        <w:t>ices may help to reduce the incidences of injury to patients and employees, as well as subsequent litigation. Physicians and other persons offering medical laser procedures at their facilities should consider doing the following:</w:t>
      </w:r>
    </w:p>
    <w:p w:rsidR="00DA7C2D" w:rsidRDefault="005A26CD">
      <w:pPr>
        <w:numPr>
          <w:ilvl w:val="0"/>
          <w:numId w:val="3"/>
        </w:numPr>
        <w:spacing w:after="16"/>
        <w:ind w:hanging="192"/>
      </w:pPr>
      <w:r>
        <w:t>Designate an individual to</w:t>
      </w:r>
      <w:r>
        <w:t xml:space="preserve"> be responsible for laser safety compliance;</w:t>
      </w:r>
    </w:p>
    <w:p w:rsidR="00DA7C2D" w:rsidRDefault="005A26CD">
      <w:pPr>
        <w:numPr>
          <w:ilvl w:val="0"/>
          <w:numId w:val="3"/>
        </w:numPr>
        <w:spacing w:after="16"/>
        <w:ind w:hanging="192"/>
      </w:pPr>
      <w:r>
        <w:t>Determine the potential risk classifications of their medical laser(s) under the ANSI Z136 scheme;</w:t>
      </w:r>
    </w:p>
    <w:p w:rsidR="00DA7C2D" w:rsidRDefault="005A26CD">
      <w:pPr>
        <w:numPr>
          <w:ilvl w:val="0"/>
          <w:numId w:val="3"/>
        </w:numPr>
        <w:spacing w:after="16"/>
        <w:ind w:hanging="192"/>
      </w:pPr>
      <w:r>
        <w:t>Utilize the ANSI Z136 standards, OSHA regulations and any state regulations to identify and implement the safety</w:t>
      </w:r>
      <w:r>
        <w:t xml:space="preserve"> practices most appropriate for their laser(s) risk classes; and</w:t>
      </w:r>
    </w:p>
    <w:p w:rsidR="00DA7C2D" w:rsidRDefault="005A26CD">
      <w:pPr>
        <w:numPr>
          <w:ilvl w:val="0"/>
          <w:numId w:val="3"/>
        </w:numPr>
        <w:ind w:hanging="192"/>
      </w:pPr>
      <w:r>
        <w:t>Report to FDA, OSHA and the state, if applicable, any adverse health effects related to the laser’s operation.</w:t>
      </w:r>
    </w:p>
    <w:p w:rsidR="00DA7C2D" w:rsidRDefault="005A26CD">
      <w:r>
        <w:t>If you have any questions about the regulation and standards affecting the use o</w:t>
      </w:r>
      <w:r>
        <w:t>r manufacture of medical lasers, please contact Mark Dahlby at 414-721-0902</w:t>
      </w:r>
      <w:r>
        <w:rPr>
          <w:noProof/>
          <w:color w:val="000000"/>
          <w:sz w:val="22"/>
        </w:rPr>
        <mc:AlternateContent>
          <mc:Choice Requires="wpg">
            <w:drawing>
              <wp:inline distT="0" distB="0" distL="0" distR="0">
                <wp:extent cx="304800" cy="184150"/>
                <wp:effectExtent l="0" t="0" r="0" b="0"/>
                <wp:docPr id="922" name="Group 922"/>
                <wp:cNvGraphicFramePr/>
                <a:graphic xmlns:a="http://schemas.openxmlformats.org/drawingml/2006/main">
                  <a:graphicData uri="http://schemas.microsoft.com/office/word/2010/wordprocessingGroup">
                    <wpg:wgp>
                      <wpg:cNvGrpSpPr/>
                      <wpg:grpSpPr>
                        <a:xfrm>
                          <a:off x="0" y="0"/>
                          <a:ext cx="304800" cy="184150"/>
                          <a:chOff x="0" y="0"/>
                          <a:chExt cx="304800" cy="184150"/>
                        </a:xfrm>
                      </wpg:grpSpPr>
                      <pic:pic xmlns:pic="http://schemas.openxmlformats.org/drawingml/2006/picture">
                        <pic:nvPicPr>
                          <pic:cNvPr id="144" name="Picture 144"/>
                          <pic:cNvPicPr/>
                        </pic:nvPicPr>
                        <pic:blipFill>
                          <a:blip r:embed="rId11"/>
                          <a:stretch>
                            <a:fillRect/>
                          </a:stretch>
                        </pic:blipFill>
                        <pic:spPr>
                          <a:xfrm>
                            <a:off x="0" y="31750"/>
                            <a:ext cx="152400" cy="152400"/>
                          </a:xfrm>
                          <a:prstGeom prst="rect">
                            <a:avLst/>
                          </a:prstGeom>
                        </pic:spPr>
                      </pic:pic>
                      <pic:pic xmlns:pic="http://schemas.openxmlformats.org/drawingml/2006/picture">
                        <pic:nvPicPr>
                          <pic:cNvPr id="145" name="Picture 145"/>
                          <pic:cNvPicPr/>
                        </pic:nvPicPr>
                        <pic:blipFill>
                          <a:blip r:embed="rId11"/>
                          <a:stretch>
                            <a:fillRect/>
                          </a:stretch>
                        </pic:blipFill>
                        <pic:spPr>
                          <a:xfrm>
                            <a:off x="152400" y="0"/>
                            <a:ext cx="152400" cy="152400"/>
                          </a:xfrm>
                          <a:prstGeom prst="rect">
                            <a:avLst/>
                          </a:prstGeom>
                        </pic:spPr>
                      </pic:pic>
                    </wpg:wgp>
                  </a:graphicData>
                </a:graphic>
              </wp:inline>
            </w:drawing>
          </mc:Choice>
          <mc:Fallback>
            <w:pict>
              <v:group w14:anchorId="4D7ED75C" id="Group 922" o:spid="_x0000_s1026" style="width:24pt;height:14.5pt;mso-position-horizontal-relative:char;mso-position-vertical-relative:line" coordsize="304800,184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4" o:spid="_x0000_s1027" type="#_x0000_t75" style="position:absolute;top:31750;width:152400;height:152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OexTCAAAA3AAAAA8AAABkcnMvZG93bnJldi54bWxET02LwjAQvS/4H8IIXkSTdWWVahRXEPak&#10;rApeh2Zsq82kNLHWf28EYW/zeJ8zX7a2FA3VvnCs4XOoQBCnzhScaTgeNoMpCB+QDZaOScODPCwX&#10;nY85Jsbd+Y+afchEDGGfoIY8hCqR0qc5WfRDVxFH7uxqiyHCOpOmxnsMt6UcKfUtLRYcG3KsaJ1T&#10;et3frIbJtTlc1rtH8dXvp+eT+VHbbKu07nXb1QxEoDb8i9/uXxPnj8fweiZeIB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TznsUwgAAANwAAAAPAAAAAAAAAAAAAAAAAJ8C&#10;AABkcnMvZG93bnJldi54bWxQSwUGAAAAAAQABAD3AAAAjgMAAAAA&#10;">
                  <v:imagedata r:id="rId12" o:title=""/>
                </v:shape>
                <v:shape id="Picture 145" o:spid="_x0000_s1028" type="#_x0000_t75" style="position:absolute;left:152400;width:152400;height:152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C3o/DAAAA3AAAAA8AAABkcnMvZG93bnJldi54bWxET0trAjEQvhf6H8IUvEhNah/KulFaQfCk&#10;uBa8DpvZR91Mlk1c13/fCIXe5uN7TroabCN66nztWMPLRIEgzp2pudTwfdw8z0H4gGywcUwabuRh&#10;tXx8SDEx7soH6rNQihjCPkENVQhtIqXPK7LoJ64ljlzhOoshwq6UpsNrDLeNnCr1IS3WHBsqbGld&#10;UX7OLlbD7Nwff9b7W/06HufFyXypXblTWo+ehs8FiEBD+Bf/ubcmzn97h/sz8QK5/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ILej8MAAADcAAAADwAAAAAAAAAAAAAAAACf&#10;AgAAZHJzL2Rvd25yZXYueG1sUEsFBgAAAAAEAAQA9wAAAI8DAAAAAA==&#10;">
                  <v:imagedata r:id="rId12" o:title=""/>
                </v:shape>
                <w10:anchorlock/>
              </v:group>
            </w:pict>
          </mc:Fallback>
        </mc:AlternateContent>
      </w:r>
      <w:r>
        <w:t xml:space="preserve"> or </w:t>
      </w:r>
      <w:r>
        <w:rPr>
          <w:color w:val="B70005"/>
        </w:rPr>
        <w:t>mdahlby@hallrender.com</w:t>
      </w:r>
      <w:r>
        <w:t>.</w:t>
      </w:r>
      <w:r>
        <w:rPr>
          <w:noProof/>
        </w:rPr>
        <w:drawing>
          <wp:anchor distT="0" distB="0" distL="114300" distR="114300" simplePos="0" relativeHeight="251661312" behindDoc="0" locked="0" layoutInCell="1" allowOverlap="0">
            <wp:simplePos x="0" y="0"/>
            <wp:positionH relativeFrom="page">
              <wp:posOffset>144005</wp:posOffset>
            </wp:positionH>
            <wp:positionV relativeFrom="page">
              <wp:posOffset>9578746</wp:posOffset>
            </wp:positionV>
            <wp:extent cx="7484402" cy="335661"/>
            <wp:effectExtent l="0" t="0" r="0" b="0"/>
            <wp:wrapTopAndBottom/>
            <wp:docPr id="85"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9"/>
                    <a:stretch>
                      <a:fillRect/>
                    </a:stretch>
                  </pic:blipFill>
                  <pic:spPr>
                    <a:xfrm>
                      <a:off x="0" y="0"/>
                      <a:ext cx="7484402" cy="335661"/>
                    </a:xfrm>
                    <a:prstGeom prst="rect">
                      <a:avLst/>
                    </a:prstGeom>
                  </pic:spPr>
                </pic:pic>
              </a:graphicData>
            </a:graphic>
          </wp:anchor>
        </w:drawing>
      </w:r>
    </w:p>
    <w:sectPr w:rsidR="00DA7C2D">
      <w:pgSz w:w="12240" w:h="15840"/>
      <w:pgMar w:top="1165" w:right="678" w:bottom="944"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4716AE"/>
    <w:multiLevelType w:val="hybridMultilevel"/>
    <w:tmpl w:val="6840FB98"/>
    <w:lvl w:ilvl="0" w:tplc="79BEF268">
      <w:start w:val="1"/>
      <w:numFmt w:val="bullet"/>
      <w:lvlText w:val="•"/>
      <w:lvlJc w:val="left"/>
      <w:pPr>
        <w:ind w:left="192"/>
      </w:pPr>
      <w:rPr>
        <w:rFonts w:ascii="Calibri" w:eastAsia="Calibri" w:hAnsi="Calibri" w:cs="Calibri"/>
        <w:b w:val="0"/>
        <w:i w:val="0"/>
        <w:strike w:val="0"/>
        <w:dstrike w:val="0"/>
        <w:color w:val="B51207"/>
        <w:sz w:val="20"/>
        <w:szCs w:val="20"/>
        <w:u w:val="none" w:color="000000"/>
        <w:bdr w:val="none" w:sz="0" w:space="0" w:color="auto"/>
        <w:shd w:val="clear" w:color="auto" w:fill="auto"/>
        <w:vertAlign w:val="baseline"/>
      </w:rPr>
    </w:lvl>
    <w:lvl w:ilvl="1" w:tplc="0B4A5CBE">
      <w:start w:val="1"/>
      <w:numFmt w:val="bullet"/>
      <w:lvlText w:val="o"/>
      <w:lvlJc w:val="left"/>
      <w:pPr>
        <w:ind w:left="1080"/>
      </w:pPr>
      <w:rPr>
        <w:rFonts w:ascii="Calibri" w:eastAsia="Calibri" w:hAnsi="Calibri" w:cs="Calibri"/>
        <w:b w:val="0"/>
        <w:i w:val="0"/>
        <w:strike w:val="0"/>
        <w:dstrike w:val="0"/>
        <w:color w:val="B51207"/>
        <w:sz w:val="20"/>
        <w:szCs w:val="20"/>
        <w:u w:val="none" w:color="000000"/>
        <w:bdr w:val="none" w:sz="0" w:space="0" w:color="auto"/>
        <w:shd w:val="clear" w:color="auto" w:fill="auto"/>
        <w:vertAlign w:val="baseline"/>
      </w:rPr>
    </w:lvl>
    <w:lvl w:ilvl="2" w:tplc="7D5EE690">
      <w:start w:val="1"/>
      <w:numFmt w:val="bullet"/>
      <w:lvlText w:val="▪"/>
      <w:lvlJc w:val="left"/>
      <w:pPr>
        <w:ind w:left="1800"/>
      </w:pPr>
      <w:rPr>
        <w:rFonts w:ascii="Calibri" w:eastAsia="Calibri" w:hAnsi="Calibri" w:cs="Calibri"/>
        <w:b w:val="0"/>
        <w:i w:val="0"/>
        <w:strike w:val="0"/>
        <w:dstrike w:val="0"/>
        <w:color w:val="B51207"/>
        <w:sz w:val="20"/>
        <w:szCs w:val="20"/>
        <w:u w:val="none" w:color="000000"/>
        <w:bdr w:val="none" w:sz="0" w:space="0" w:color="auto"/>
        <w:shd w:val="clear" w:color="auto" w:fill="auto"/>
        <w:vertAlign w:val="baseline"/>
      </w:rPr>
    </w:lvl>
    <w:lvl w:ilvl="3" w:tplc="B756F3DA">
      <w:start w:val="1"/>
      <w:numFmt w:val="bullet"/>
      <w:lvlText w:val="•"/>
      <w:lvlJc w:val="left"/>
      <w:pPr>
        <w:ind w:left="2520"/>
      </w:pPr>
      <w:rPr>
        <w:rFonts w:ascii="Calibri" w:eastAsia="Calibri" w:hAnsi="Calibri" w:cs="Calibri"/>
        <w:b w:val="0"/>
        <w:i w:val="0"/>
        <w:strike w:val="0"/>
        <w:dstrike w:val="0"/>
        <w:color w:val="B51207"/>
        <w:sz w:val="20"/>
        <w:szCs w:val="20"/>
        <w:u w:val="none" w:color="000000"/>
        <w:bdr w:val="none" w:sz="0" w:space="0" w:color="auto"/>
        <w:shd w:val="clear" w:color="auto" w:fill="auto"/>
        <w:vertAlign w:val="baseline"/>
      </w:rPr>
    </w:lvl>
    <w:lvl w:ilvl="4" w:tplc="9B14BCFA">
      <w:start w:val="1"/>
      <w:numFmt w:val="bullet"/>
      <w:lvlText w:val="o"/>
      <w:lvlJc w:val="left"/>
      <w:pPr>
        <w:ind w:left="3240"/>
      </w:pPr>
      <w:rPr>
        <w:rFonts w:ascii="Calibri" w:eastAsia="Calibri" w:hAnsi="Calibri" w:cs="Calibri"/>
        <w:b w:val="0"/>
        <w:i w:val="0"/>
        <w:strike w:val="0"/>
        <w:dstrike w:val="0"/>
        <w:color w:val="B51207"/>
        <w:sz w:val="20"/>
        <w:szCs w:val="20"/>
        <w:u w:val="none" w:color="000000"/>
        <w:bdr w:val="none" w:sz="0" w:space="0" w:color="auto"/>
        <w:shd w:val="clear" w:color="auto" w:fill="auto"/>
        <w:vertAlign w:val="baseline"/>
      </w:rPr>
    </w:lvl>
    <w:lvl w:ilvl="5" w:tplc="76DE8FCC">
      <w:start w:val="1"/>
      <w:numFmt w:val="bullet"/>
      <w:lvlText w:val="▪"/>
      <w:lvlJc w:val="left"/>
      <w:pPr>
        <w:ind w:left="3960"/>
      </w:pPr>
      <w:rPr>
        <w:rFonts w:ascii="Calibri" w:eastAsia="Calibri" w:hAnsi="Calibri" w:cs="Calibri"/>
        <w:b w:val="0"/>
        <w:i w:val="0"/>
        <w:strike w:val="0"/>
        <w:dstrike w:val="0"/>
        <w:color w:val="B51207"/>
        <w:sz w:val="20"/>
        <w:szCs w:val="20"/>
        <w:u w:val="none" w:color="000000"/>
        <w:bdr w:val="none" w:sz="0" w:space="0" w:color="auto"/>
        <w:shd w:val="clear" w:color="auto" w:fill="auto"/>
        <w:vertAlign w:val="baseline"/>
      </w:rPr>
    </w:lvl>
    <w:lvl w:ilvl="6" w:tplc="F322F4B6">
      <w:start w:val="1"/>
      <w:numFmt w:val="bullet"/>
      <w:lvlText w:val="•"/>
      <w:lvlJc w:val="left"/>
      <w:pPr>
        <w:ind w:left="4680"/>
      </w:pPr>
      <w:rPr>
        <w:rFonts w:ascii="Calibri" w:eastAsia="Calibri" w:hAnsi="Calibri" w:cs="Calibri"/>
        <w:b w:val="0"/>
        <w:i w:val="0"/>
        <w:strike w:val="0"/>
        <w:dstrike w:val="0"/>
        <w:color w:val="B51207"/>
        <w:sz w:val="20"/>
        <w:szCs w:val="20"/>
        <w:u w:val="none" w:color="000000"/>
        <w:bdr w:val="none" w:sz="0" w:space="0" w:color="auto"/>
        <w:shd w:val="clear" w:color="auto" w:fill="auto"/>
        <w:vertAlign w:val="baseline"/>
      </w:rPr>
    </w:lvl>
    <w:lvl w:ilvl="7" w:tplc="A05E9F9A">
      <w:start w:val="1"/>
      <w:numFmt w:val="bullet"/>
      <w:lvlText w:val="o"/>
      <w:lvlJc w:val="left"/>
      <w:pPr>
        <w:ind w:left="5400"/>
      </w:pPr>
      <w:rPr>
        <w:rFonts w:ascii="Calibri" w:eastAsia="Calibri" w:hAnsi="Calibri" w:cs="Calibri"/>
        <w:b w:val="0"/>
        <w:i w:val="0"/>
        <w:strike w:val="0"/>
        <w:dstrike w:val="0"/>
        <w:color w:val="B51207"/>
        <w:sz w:val="20"/>
        <w:szCs w:val="20"/>
        <w:u w:val="none" w:color="000000"/>
        <w:bdr w:val="none" w:sz="0" w:space="0" w:color="auto"/>
        <w:shd w:val="clear" w:color="auto" w:fill="auto"/>
        <w:vertAlign w:val="baseline"/>
      </w:rPr>
    </w:lvl>
    <w:lvl w:ilvl="8" w:tplc="7CCC2B08">
      <w:start w:val="1"/>
      <w:numFmt w:val="bullet"/>
      <w:lvlText w:val="▪"/>
      <w:lvlJc w:val="left"/>
      <w:pPr>
        <w:ind w:left="6120"/>
      </w:pPr>
      <w:rPr>
        <w:rFonts w:ascii="Calibri" w:eastAsia="Calibri" w:hAnsi="Calibri" w:cs="Calibri"/>
        <w:b w:val="0"/>
        <w:i w:val="0"/>
        <w:strike w:val="0"/>
        <w:dstrike w:val="0"/>
        <w:color w:val="B51207"/>
        <w:sz w:val="20"/>
        <w:szCs w:val="20"/>
        <w:u w:val="none" w:color="000000"/>
        <w:bdr w:val="none" w:sz="0" w:space="0" w:color="auto"/>
        <w:shd w:val="clear" w:color="auto" w:fill="auto"/>
        <w:vertAlign w:val="baseline"/>
      </w:rPr>
    </w:lvl>
  </w:abstractNum>
  <w:abstractNum w:abstractNumId="1">
    <w:nsid w:val="505D4AD9"/>
    <w:multiLevelType w:val="hybridMultilevel"/>
    <w:tmpl w:val="3BF8E386"/>
    <w:lvl w:ilvl="0" w:tplc="3C2835F6">
      <w:start w:val="1"/>
      <w:numFmt w:val="bullet"/>
      <w:lvlText w:val="•"/>
      <w:lvlJc w:val="left"/>
      <w:pPr>
        <w:ind w:left="192"/>
      </w:pPr>
      <w:rPr>
        <w:rFonts w:ascii="Calibri" w:eastAsia="Calibri" w:hAnsi="Calibri" w:cs="Calibri"/>
        <w:b w:val="0"/>
        <w:i w:val="0"/>
        <w:strike w:val="0"/>
        <w:dstrike w:val="0"/>
        <w:color w:val="B51207"/>
        <w:sz w:val="20"/>
        <w:szCs w:val="20"/>
        <w:u w:val="none" w:color="000000"/>
        <w:bdr w:val="none" w:sz="0" w:space="0" w:color="auto"/>
        <w:shd w:val="clear" w:color="auto" w:fill="auto"/>
        <w:vertAlign w:val="baseline"/>
      </w:rPr>
    </w:lvl>
    <w:lvl w:ilvl="1" w:tplc="74E85714">
      <w:start w:val="1"/>
      <w:numFmt w:val="bullet"/>
      <w:lvlText w:val="o"/>
      <w:lvlJc w:val="left"/>
      <w:pPr>
        <w:ind w:left="1080"/>
      </w:pPr>
      <w:rPr>
        <w:rFonts w:ascii="Calibri" w:eastAsia="Calibri" w:hAnsi="Calibri" w:cs="Calibri"/>
        <w:b w:val="0"/>
        <w:i w:val="0"/>
        <w:strike w:val="0"/>
        <w:dstrike w:val="0"/>
        <w:color w:val="B51207"/>
        <w:sz w:val="20"/>
        <w:szCs w:val="20"/>
        <w:u w:val="none" w:color="000000"/>
        <w:bdr w:val="none" w:sz="0" w:space="0" w:color="auto"/>
        <w:shd w:val="clear" w:color="auto" w:fill="auto"/>
        <w:vertAlign w:val="baseline"/>
      </w:rPr>
    </w:lvl>
    <w:lvl w:ilvl="2" w:tplc="270C4974">
      <w:start w:val="1"/>
      <w:numFmt w:val="bullet"/>
      <w:lvlText w:val="▪"/>
      <w:lvlJc w:val="left"/>
      <w:pPr>
        <w:ind w:left="1800"/>
      </w:pPr>
      <w:rPr>
        <w:rFonts w:ascii="Calibri" w:eastAsia="Calibri" w:hAnsi="Calibri" w:cs="Calibri"/>
        <w:b w:val="0"/>
        <w:i w:val="0"/>
        <w:strike w:val="0"/>
        <w:dstrike w:val="0"/>
        <w:color w:val="B51207"/>
        <w:sz w:val="20"/>
        <w:szCs w:val="20"/>
        <w:u w:val="none" w:color="000000"/>
        <w:bdr w:val="none" w:sz="0" w:space="0" w:color="auto"/>
        <w:shd w:val="clear" w:color="auto" w:fill="auto"/>
        <w:vertAlign w:val="baseline"/>
      </w:rPr>
    </w:lvl>
    <w:lvl w:ilvl="3" w:tplc="655CEA00">
      <w:start w:val="1"/>
      <w:numFmt w:val="bullet"/>
      <w:lvlText w:val="•"/>
      <w:lvlJc w:val="left"/>
      <w:pPr>
        <w:ind w:left="2520"/>
      </w:pPr>
      <w:rPr>
        <w:rFonts w:ascii="Calibri" w:eastAsia="Calibri" w:hAnsi="Calibri" w:cs="Calibri"/>
        <w:b w:val="0"/>
        <w:i w:val="0"/>
        <w:strike w:val="0"/>
        <w:dstrike w:val="0"/>
        <w:color w:val="B51207"/>
        <w:sz w:val="20"/>
        <w:szCs w:val="20"/>
        <w:u w:val="none" w:color="000000"/>
        <w:bdr w:val="none" w:sz="0" w:space="0" w:color="auto"/>
        <w:shd w:val="clear" w:color="auto" w:fill="auto"/>
        <w:vertAlign w:val="baseline"/>
      </w:rPr>
    </w:lvl>
    <w:lvl w:ilvl="4" w:tplc="9A74D72A">
      <w:start w:val="1"/>
      <w:numFmt w:val="bullet"/>
      <w:lvlText w:val="o"/>
      <w:lvlJc w:val="left"/>
      <w:pPr>
        <w:ind w:left="3240"/>
      </w:pPr>
      <w:rPr>
        <w:rFonts w:ascii="Calibri" w:eastAsia="Calibri" w:hAnsi="Calibri" w:cs="Calibri"/>
        <w:b w:val="0"/>
        <w:i w:val="0"/>
        <w:strike w:val="0"/>
        <w:dstrike w:val="0"/>
        <w:color w:val="B51207"/>
        <w:sz w:val="20"/>
        <w:szCs w:val="20"/>
        <w:u w:val="none" w:color="000000"/>
        <w:bdr w:val="none" w:sz="0" w:space="0" w:color="auto"/>
        <w:shd w:val="clear" w:color="auto" w:fill="auto"/>
        <w:vertAlign w:val="baseline"/>
      </w:rPr>
    </w:lvl>
    <w:lvl w:ilvl="5" w:tplc="1EF4FB62">
      <w:start w:val="1"/>
      <w:numFmt w:val="bullet"/>
      <w:lvlText w:val="▪"/>
      <w:lvlJc w:val="left"/>
      <w:pPr>
        <w:ind w:left="3960"/>
      </w:pPr>
      <w:rPr>
        <w:rFonts w:ascii="Calibri" w:eastAsia="Calibri" w:hAnsi="Calibri" w:cs="Calibri"/>
        <w:b w:val="0"/>
        <w:i w:val="0"/>
        <w:strike w:val="0"/>
        <w:dstrike w:val="0"/>
        <w:color w:val="B51207"/>
        <w:sz w:val="20"/>
        <w:szCs w:val="20"/>
        <w:u w:val="none" w:color="000000"/>
        <w:bdr w:val="none" w:sz="0" w:space="0" w:color="auto"/>
        <w:shd w:val="clear" w:color="auto" w:fill="auto"/>
        <w:vertAlign w:val="baseline"/>
      </w:rPr>
    </w:lvl>
    <w:lvl w:ilvl="6" w:tplc="73305DFC">
      <w:start w:val="1"/>
      <w:numFmt w:val="bullet"/>
      <w:lvlText w:val="•"/>
      <w:lvlJc w:val="left"/>
      <w:pPr>
        <w:ind w:left="4680"/>
      </w:pPr>
      <w:rPr>
        <w:rFonts w:ascii="Calibri" w:eastAsia="Calibri" w:hAnsi="Calibri" w:cs="Calibri"/>
        <w:b w:val="0"/>
        <w:i w:val="0"/>
        <w:strike w:val="0"/>
        <w:dstrike w:val="0"/>
        <w:color w:val="B51207"/>
        <w:sz w:val="20"/>
        <w:szCs w:val="20"/>
        <w:u w:val="none" w:color="000000"/>
        <w:bdr w:val="none" w:sz="0" w:space="0" w:color="auto"/>
        <w:shd w:val="clear" w:color="auto" w:fill="auto"/>
        <w:vertAlign w:val="baseline"/>
      </w:rPr>
    </w:lvl>
    <w:lvl w:ilvl="7" w:tplc="0E1EED2C">
      <w:start w:val="1"/>
      <w:numFmt w:val="bullet"/>
      <w:lvlText w:val="o"/>
      <w:lvlJc w:val="left"/>
      <w:pPr>
        <w:ind w:left="5400"/>
      </w:pPr>
      <w:rPr>
        <w:rFonts w:ascii="Calibri" w:eastAsia="Calibri" w:hAnsi="Calibri" w:cs="Calibri"/>
        <w:b w:val="0"/>
        <w:i w:val="0"/>
        <w:strike w:val="0"/>
        <w:dstrike w:val="0"/>
        <w:color w:val="B51207"/>
        <w:sz w:val="20"/>
        <w:szCs w:val="20"/>
        <w:u w:val="none" w:color="000000"/>
        <w:bdr w:val="none" w:sz="0" w:space="0" w:color="auto"/>
        <w:shd w:val="clear" w:color="auto" w:fill="auto"/>
        <w:vertAlign w:val="baseline"/>
      </w:rPr>
    </w:lvl>
    <w:lvl w:ilvl="8" w:tplc="7556F346">
      <w:start w:val="1"/>
      <w:numFmt w:val="bullet"/>
      <w:lvlText w:val="▪"/>
      <w:lvlJc w:val="left"/>
      <w:pPr>
        <w:ind w:left="6120"/>
      </w:pPr>
      <w:rPr>
        <w:rFonts w:ascii="Calibri" w:eastAsia="Calibri" w:hAnsi="Calibri" w:cs="Calibri"/>
        <w:b w:val="0"/>
        <w:i w:val="0"/>
        <w:strike w:val="0"/>
        <w:dstrike w:val="0"/>
        <w:color w:val="B51207"/>
        <w:sz w:val="20"/>
        <w:szCs w:val="20"/>
        <w:u w:val="none" w:color="000000"/>
        <w:bdr w:val="none" w:sz="0" w:space="0" w:color="auto"/>
        <w:shd w:val="clear" w:color="auto" w:fill="auto"/>
        <w:vertAlign w:val="baseline"/>
      </w:rPr>
    </w:lvl>
  </w:abstractNum>
  <w:abstractNum w:abstractNumId="2">
    <w:nsid w:val="6DA935B3"/>
    <w:multiLevelType w:val="hybridMultilevel"/>
    <w:tmpl w:val="89BC871A"/>
    <w:lvl w:ilvl="0" w:tplc="685E7918">
      <w:start w:val="1"/>
      <w:numFmt w:val="bullet"/>
      <w:lvlText w:val="•"/>
      <w:lvlJc w:val="left"/>
      <w:pPr>
        <w:ind w:left="192"/>
      </w:pPr>
      <w:rPr>
        <w:rFonts w:ascii="Calibri" w:eastAsia="Calibri" w:hAnsi="Calibri" w:cs="Calibri"/>
        <w:b w:val="0"/>
        <w:i w:val="0"/>
        <w:strike w:val="0"/>
        <w:dstrike w:val="0"/>
        <w:color w:val="B51207"/>
        <w:sz w:val="20"/>
        <w:szCs w:val="20"/>
        <w:u w:val="none" w:color="000000"/>
        <w:bdr w:val="none" w:sz="0" w:space="0" w:color="auto"/>
        <w:shd w:val="clear" w:color="auto" w:fill="auto"/>
        <w:vertAlign w:val="baseline"/>
      </w:rPr>
    </w:lvl>
    <w:lvl w:ilvl="1" w:tplc="F098B9F0">
      <w:start w:val="1"/>
      <w:numFmt w:val="bullet"/>
      <w:lvlText w:val="o"/>
      <w:lvlJc w:val="left"/>
      <w:pPr>
        <w:ind w:left="1080"/>
      </w:pPr>
      <w:rPr>
        <w:rFonts w:ascii="Calibri" w:eastAsia="Calibri" w:hAnsi="Calibri" w:cs="Calibri"/>
        <w:b w:val="0"/>
        <w:i w:val="0"/>
        <w:strike w:val="0"/>
        <w:dstrike w:val="0"/>
        <w:color w:val="B51207"/>
        <w:sz w:val="20"/>
        <w:szCs w:val="20"/>
        <w:u w:val="none" w:color="000000"/>
        <w:bdr w:val="none" w:sz="0" w:space="0" w:color="auto"/>
        <w:shd w:val="clear" w:color="auto" w:fill="auto"/>
        <w:vertAlign w:val="baseline"/>
      </w:rPr>
    </w:lvl>
    <w:lvl w:ilvl="2" w:tplc="C3BEEE2E">
      <w:start w:val="1"/>
      <w:numFmt w:val="bullet"/>
      <w:lvlText w:val="▪"/>
      <w:lvlJc w:val="left"/>
      <w:pPr>
        <w:ind w:left="1800"/>
      </w:pPr>
      <w:rPr>
        <w:rFonts w:ascii="Calibri" w:eastAsia="Calibri" w:hAnsi="Calibri" w:cs="Calibri"/>
        <w:b w:val="0"/>
        <w:i w:val="0"/>
        <w:strike w:val="0"/>
        <w:dstrike w:val="0"/>
        <w:color w:val="B51207"/>
        <w:sz w:val="20"/>
        <w:szCs w:val="20"/>
        <w:u w:val="none" w:color="000000"/>
        <w:bdr w:val="none" w:sz="0" w:space="0" w:color="auto"/>
        <w:shd w:val="clear" w:color="auto" w:fill="auto"/>
        <w:vertAlign w:val="baseline"/>
      </w:rPr>
    </w:lvl>
    <w:lvl w:ilvl="3" w:tplc="ED5C9520">
      <w:start w:val="1"/>
      <w:numFmt w:val="bullet"/>
      <w:lvlText w:val="•"/>
      <w:lvlJc w:val="left"/>
      <w:pPr>
        <w:ind w:left="2520"/>
      </w:pPr>
      <w:rPr>
        <w:rFonts w:ascii="Calibri" w:eastAsia="Calibri" w:hAnsi="Calibri" w:cs="Calibri"/>
        <w:b w:val="0"/>
        <w:i w:val="0"/>
        <w:strike w:val="0"/>
        <w:dstrike w:val="0"/>
        <w:color w:val="B51207"/>
        <w:sz w:val="20"/>
        <w:szCs w:val="20"/>
        <w:u w:val="none" w:color="000000"/>
        <w:bdr w:val="none" w:sz="0" w:space="0" w:color="auto"/>
        <w:shd w:val="clear" w:color="auto" w:fill="auto"/>
        <w:vertAlign w:val="baseline"/>
      </w:rPr>
    </w:lvl>
    <w:lvl w:ilvl="4" w:tplc="8FA09760">
      <w:start w:val="1"/>
      <w:numFmt w:val="bullet"/>
      <w:lvlText w:val="o"/>
      <w:lvlJc w:val="left"/>
      <w:pPr>
        <w:ind w:left="3240"/>
      </w:pPr>
      <w:rPr>
        <w:rFonts w:ascii="Calibri" w:eastAsia="Calibri" w:hAnsi="Calibri" w:cs="Calibri"/>
        <w:b w:val="0"/>
        <w:i w:val="0"/>
        <w:strike w:val="0"/>
        <w:dstrike w:val="0"/>
        <w:color w:val="B51207"/>
        <w:sz w:val="20"/>
        <w:szCs w:val="20"/>
        <w:u w:val="none" w:color="000000"/>
        <w:bdr w:val="none" w:sz="0" w:space="0" w:color="auto"/>
        <w:shd w:val="clear" w:color="auto" w:fill="auto"/>
        <w:vertAlign w:val="baseline"/>
      </w:rPr>
    </w:lvl>
    <w:lvl w:ilvl="5" w:tplc="C874C3D0">
      <w:start w:val="1"/>
      <w:numFmt w:val="bullet"/>
      <w:lvlText w:val="▪"/>
      <w:lvlJc w:val="left"/>
      <w:pPr>
        <w:ind w:left="3960"/>
      </w:pPr>
      <w:rPr>
        <w:rFonts w:ascii="Calibri" w:eastAsia="Calibri" w:hAnsi="Calibri" w:cs="Calibri"/>
        <w:b w:val="0"/>
        <w:i w:val="0"/>
        <w:strike w:val="0"/>
        <w:dstrike w:val="0"/>
        <w:color w:val="B51207"/>
        <w:sz w:val="20"/>
        <w:szCs w:val="20"/>
        <w:u w:val="none" w:color="000000"/>
        <w:bdr w:val="none" w:sz="0" w:space="0" w:color="auto"/>
        <w:shd w:val="clear" w:color="auto" w:fill="auto"/>
        <w:vertAlign w:val="baseline"/>
      </w:rPr>
    </w:lvl>
    <w:lvl w:ilvl="6" w:tplc="82C062A8">
      <w:start w:val="1"/>
      <w:numFmt w:val="bullet"/>
      <w:lvlText w:val="•"/>
      <w:lvlJc w:val="left"/>
      <w:pPr>
        <w:ind w:left="4680"/>
      </w:pPr>
      <w:rPr>
        <w:rFonts w:ascii="Calibri" w:eastAsia="Calibri" w:hAnsi="Calibri" w:cs="Calibri"/>
        <w:b w:val="0"/>
        <w:i w:val="0"/>
        <w:strike w:val="0"/>
        <w:dstrike w:val="0"/>
        <w:color w:val="B51207"/>
        <w:sz w:val="20"/>
        <w:szCs w:val="20"/>
        <w:u w:val="none" w:color="000000"/>
        <w:bdr w:val="none" w:sz="0" w:space="0" w:color="auto"/>
        <w:shd w:val="clear" w:color="auto" w:fill="auto"/>
        <w:vertAlign w:val="baseline"/>
      </w:rPr>
    </w:lvl>
    <w:lvl w:ilvl="7" w:tplc="5C5CA604">
      <w:start w:val="1"/>
      <w:numFmt w:val="bullet"/>
      <w:lvlText w:val="o"/>
      <w:lvlJc w:val="left"/>
      <w:pPr>
        <w:ind w:left="5400"/>
      </w:pPr>
      <w:rPr>
        <w:rFonts w:ascii="Calibri" w:eastAsia="Calibri" w:hAnsi="Calibri" w:cs="Calibri"/>
        <w:b w:val="0"/>
        <w:i w:val="0"/>
        <w:strike w:val="0"/>
        <w:dstrike w:val="0"/>
        <w:color w:val="B51207"/>
        <w:sz w:val="20"/>
        <w:szCs w:val="20"/>
        <w:u w:val="none" w:color="000000"/>
        <w:bdr w:val="none" w:sz="0" w:space="0" w:color="auto"/>
        <w:shd w:val="clear" w:color="auto" w:fill="auto"/>
        <w:vertAlign w:val="baseline"/>
      </w:rPr>
    </w:lvl>
    <w:lvl w:ilvl="8" w:tplc="75048996">
      <w:start w:val="1"/>
      <w:numFmt w:val="bullet"/>
      <w:lvlText w:val="▪"/>
      <w:lvlJc w:val="left"/>
      <w:pPr>
        <w:ind w:left="6120"/>
      </w:pPr>
      <w:rPr>
        <w:rFonts w:ascii="Calibri" w:eastAsia="Calibri" w:hAnsi="Calibri" w:cs="Calibri"/>
        <w:b w:val="0"/>
        <w:i w:val="0"/>
        <w:strike w:val="0"/>
        <w:dstrike w:val="0"/>
        <w:color w:val="B51207"/>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C2D"/>
    <w:rsid w:val="005A26CD"/>
    <w:rsid w:val="00DA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23CEFE-9326-4943-8FAF-A58EB60E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9" w:line="241" w:lineRule="auto"/>
      <w:ind w:left="-5" w:right="-10" w:hanging="10"/>
      <w:jc w:val="both"/>
    </w:pPr>
    <w:rPr>
      <w:rFonts w:ascii="Calibri" w:eastAsia="Calibri" w:hAnsi="Calibri" w:cs="Calibri"/>
      <w:color w:val="595D4C"/>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osha.gov/dts/osta/otm/otm_iii/otm_iii_6.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m.org/pubs/reports/rpt_73.pdf"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chderm.jamanetwork.com/article.aspx?articleid=1654904" TargetMode="External"/><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1251</Words>
  <Characters>7136</Characters>
  <Application>Microsoft Office Word</Application>
  <DocSecurity>0</DocSecurity>
  <Lines>59</Lines>
  <Paragraphs>16</Paragraphs>
  <ScaleCrop>false</ScaleCrop>
  <Company/>
  <LinksUpToDate>false</LinksUpToDate>
  <CharactersWithSpaces>8371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Meyer-Shaffer</dc:creator>
  <cp:keywords/>
  <cp:lastModifiedBy>Gina Meyer-Shaffer</cp:lastModifiedBy>
  <cp:revision>2</cp:revision>
  <dcterms:created xsi:type="dcterms:W3CDTF">2013-08-07T15:04:00Z</dcterms:created>
  <dcterms:modified xsi:type="dcterms:W3CDTF">2013-08-07T15:04:00Z</dcterms:modified>
</cp:coreProperties>
</file>