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37A0" w:rsidRDefault="00EC02C9">
      <w:pPr>
        <w:pStyle w:val="Normal1"/>
        <w:spacing w:after="0" w:line="240" w:lineRule="auto"/>
        <w:jc w:val="center"/>
      </w:pPr>
      <w:proofErr w:type="gramStart"/>
      <w:r>
        <w:rPr>
          <w:b/>
          <w:sz w:val="32"/>
        </w:rPr>
        <w:t>wot.io</w:t>
      </w:r>
      <w:proofErr w:type="gramEnd"/>
      <w:r>
        <w:rPr>
          <w:b/>
          <w:sz w:val="32"/>
        </w:rPr>
        <w:t xml:space="preserve"> Offers its</w:t>
      </w:r>
      <w:r>
        <w:rPr>
          <w:b/>
          <w:sz w:val="32"/>
          <w:highlight w:val="white"/>
        </w:rPr>
        <w:t xml:space="preserve"> Data Service</w:t>
      </w:r>
      <w:r>
        <w:rPr>
          <w:b/>
          <w:sz w:val="32"/>
        </w:rPr>
        <w:t xml:space="preserve"> Exchange</w:t>
      </w:r>
      <w:r w:rsidR="002A5BCC">
        <w:rPr>
          <w:b/>
          <w:sz w:val="32"/>
        </w:rPr>
        <w:t>™</w:t>
      </w:r>
      <w:r>
        <w:rPr>
          <w:b/>
          <w:sz w:val="32"/>
        </w:rPr>
        <w:t xml:space="preserve"> for Internet of Things Applications as part of the </w:t>
      </w:r>
      <w:proofErr w:type="spellStart"/>
      <w:r>
        <w:rPr>
          <w:b/>
          <w:sz w:val="32"/>
        </w:rPr>
        <w:t>ThingWorx</w:t>
      </w:r>
      <w:proofErr w:type="spellEnd"/>
      <w:r>
        <w:rPr>
          <w:b/>
          <w:sz w:val="32"/>
        </w:rPr>
        <w:t xml:space="preserve"> Ready™ Partner Program</w:t>
      </w:r>
    </w:p>
    <w:p w:rsidR="002237A0" w:rsidRDefault="002237A0">
      <w:pPr>
        <w:pStyle w:val="Normal1"/>
        <w:spacing w:after="0" w:line="240" w:lineRule="auto"/>
        <w:jc w:val="center"/>
      </w:pPr>
    </w:p>
    <w:p w:rsidR="002237A0" w:rsidRDefault="00EC02C9">
      <w:pPr>
        <w:pStyle w:val="Normal1"/>
        <w:spacing w:after="0" w:line="240" w:lineRule="auto"/>
        <w:jc w:val="center"/>
      </w:pPr>
      <w:r>
        <w:rPr>
          <w:b/>
          <w:sz w:val="24"/>
        </w:rPr>
        <w:t xml:space="preserve">The wot.io™ </w:t>
      </w:r>
      <w:r>
        <w:rPr>
          <w:b/>
          <w:i/>
          <w:sz w:val="24"/>
        </w:rPr>
        <w:t>data service exchange</w:t>
      </w:r>
      <w:r>
        <w:rPr>
          <w:b/>
          <w:sz w:val="24"/>
        </w:rPr>
        <w:t xml:space="preserve">™ for connected device platforms complements the </w:t>
      </w:r>
      <w:proofErr w:type="spellStart"/>
      <w:r>
        <w:rPr>
          <w:b/>
          <w:sz w:val="24"/>
        </w:rPr>
        <w:t>ThingWorx</w:t>
      </w:r>
      <w:proofErr w:type="spellEnd"/>
      <w:r>
        <w:rPr>
          <w:b/>
          <w:sz w:val="24"/>
        </w:rPr>
        <w:t xml:space="preserve">® platform to help businesses realize the full potential of the </w:t>
      </w:r>
      <w:proofErr w:type="spellStart"/>
      <w:r>
        <w:rPr>
          <w:b/>
          <w:sz w:val="24"/>
        </w:rPr>
        <w:t>IoT</w:t>
      </w:r>
      <w:proofErr w:type="spellEnd"/>
      <w:r>
        <w:rPr>
          <w:b/>
          <w:sz w:val="24"/>
        </w:rPr>
        <w:t>.</w:t>
      </w:r>
    </w:p>
    <w:p w:rsidR="002237A0" w:rsidRDefault="002237A0">
      <w:pPr>
        <w:pStyle w:val="Normal1"/>
        <w:spacing w:after="0" w:line="240" w:lineRule="auto"/>
      </w:pPr>
    </w:p>
    <w:p w:rsidR="002237A0" w:rsidRDefault="00EC02C9">
      <w:pPr>
        <w:pStyle w:val="Normal1"/>
        <w:spacing w:after="0" w:line="240" w:lineRule="auto"/>
      </w:pPr>
      <w:r w:rsidRPr="0038334F">
        <w:rPr>
          <w:b/>
          <w:szCs w:val="22"/>
        </w:rPr>
        <w:t xml:space="preserve">New York, New York – </w:t>
      </w:r>
      <w:r w:rsidR="00C34301" w:rsidRPr="0038334F">
        <w:rPr>
          <w:b/>
          <w:szCs w:val="22"/>
        </w:rPr>
        <w:t>May 5</w:t>
      </w:r>
      <w:r w:rsidRPr="0038334F">
        <w:rPr>
          <w:b/>
          <w:szCs w:val="22"/>
        </w:rPr>
        <w:t xml:space="preserve">, 2015 </w:t>
      </w:r>
      <w:r w:rsidRPr="0038334F">
        <w:rPr>
          <w:szCs w:val="22"/>
        </w:rPr>
        <w:t>–</w:t>
      </w:r>
      <w:r w:rsidRPr="0038334F">
        <w:rPr>
          <w:b/>
          <w:szCs w:val="22"/>
        </w:rPr>
        <w:t xml:space="preserve"> wot.io</w:t>
      </w:r>
      <w:r w:rsidRPr="0038334F">
        <w:rPr>
          <w:szCs w:val="22"/>
        </w:rPr>
        <w:t>,</w:t>
      </w:r>
      <w:r>
        <w:rPr>
          <w:sz w:val="24"/>
        </w:rPr>
        <w:t xml:space="preserve"> the </w:t>
      </w:r>
      <w:r>
        <w:rPr>
          <w:i/>
          <w:sz w:val="24"/>
        </w:rPr>
        <w:t>data service exchange</w:t>
      </w:r>
      <w:r>
        <w:rPr>
          <w:sz w:val="24"/>
        </w:rPr>
        <w:t xml:space="preserve"> for connected device platforms, today announced that it has joined the </w:t>
      </w:r>
      <w:proofErr w:type="spellStart"/>
      <w:r>
        <w:rPr>
          <w:sz w:val="24"/>
        </w:rPr>
        <w:t>ThingWorx</w:t>
      </w:r>
      <w:proofErr w:type="spellEnd"/>
      <w:r>
        <w:rPr>
          <w:sz w:val="24"/>
        </w:rPr>
        <w:t xml:space="preserve"> Ready™ Partner Program. </w:t>
      </w:r>
      <w:proofErr w:type="gramStart"/>
      <w:r>
        <w:rPr>
          <w:sz w:val="24"/>
        </w:rPr>
        <w:t>wot.io</w:t>
      </w:r>
      <w:proofErr w:type="gramEnd"/>
      <w:r>
        <w:rPr>
          <w:sz w:val="24"/>
        </w:rPr>
        <w:t xml:space="preserve"> will offer its integrated data services to those using the </w:t>
      </w:r>
      <w:proofErr w:type="spellStart"/>
      <w:r>
        <w:rPr>
          <w:sz w:val="24"/>
        </w:rPr>
        <w:t>ThingWorx</w:t>
      </w:r>
      <w:proofErr w:type="spellEnd"/>
      <w:r>
        <w:rPr>
          <w:sz w:val="24"/>
        </w:rPr>
        <w:t xml:space="preserve"> platform.  As a partner, wot.io offers </w:t>
      </w:r>
      <w:proofErr w:type="spellStart"/>
      <w:r>
        <w:rPr>
          <w:sz w:val="24"/>
        </w:rPr>
        <w:t>ThingWorx</w:t>
      </w:r>
      <w:proofErr w:type="spellEnd"/>
      <w:r>
        <w:rPr>
          <w:sz w:val="24"/>
        </w:rPr>
        <w:t xml:space="preserve"> customers’ seamless access to more than </w:t>
      </w:r>
      <w:r>
        <w:rPr>
          <w:sz w:val="24"/>
          <w:highlight w:val="white"/>
        </w:rPr>
        <w:t>75</w:t>
      </w:r>
      <w:r>
        <w:rPr>
          <w:sz w:val="24"/>
        </w:rPr>
        <w:t xml:space="preserve"> third party data service providers. These data services enable a wide range of value-added services such as analytics, business intelligence, data r</w:t>
      </w:r>
      <w:bookmarkStart w:id="0" w:name="_GoBack"/>
      <w:bookmarkEnd w:id="0"/>
      <w:r>
        <w:rPr>
          <w:sz w:val="24"/>
        </w:rPr>
        <w:t xml:space="preserve">etention, data management, monitoring, reporting, visualization, web API automation, and many others. Ultimately this enables those building </w:t>
      </w:r>
      <w:proofErr w:type="spellStart"/>
      <w:r>
        <w:rPr>
          <w:sz w:val="24"/>
        </w:rPr>
        <w:t>IoT</w:t>
      </w:r>
      <w:proofErr w:type="spellEnd"/>
      <w:r>
        <w:rPr>
          <w:sz w:val="24"/>
        </w:rPr>
        <w:t xml:space="preserve"> and M2M applications to extract the most value from their data.</w:t>
      </w:r>
    </w:p>
    <w:p w:rsidR="002237A0" w:rsidRDefault="002237A0">
      <w:pPr>
        <w:pStyle w:val="Normal1"/>
        <w:spacing w:after="0" w:line="240" w:lineRule="auto"/>
      </w:pPr>
    </w:p>
    <w:p w:rsidR="002237A0" w:rsidRDefault="00EC02C9">
      <w:pPr>
        <w:pStyle w:val="Normal1"/>
        <w:spacing w:after="0" w:line="240" w:lineRule="auto"/>
      </w:pPr>
      <w:r>
        <w:rPr>
          <w:sz w:val="24"/>
        </w:rPr>
        <w:t xml:space="preserve">“To reach its full potential the Internet of Things requires wide-ranging collaboration so the technology can scale and add value to enterprises immediately,” said </w:t>
      </w:r>
      <w:r w:rsidR="00E73442">
        <w:rPr>
          <w:sz w:val="24"/>
        </w:rPr>
        <w:t>Tom Gilley</w:t>
      </w:r>
      <w:r>
        <w:rPr>
          <w:sz w:val="24"/>
        </w:rPr>
        <w:t xml:space="preserve">, Founder.  “We’re pleased to partner with </w:t>
      </w:r>
      <w:proofErr w:type="spellStart"/>
      <w:r>
        <w:rPr>
          <w:sz w:val="24"/>
        </w:rPr>
        <w:t>ThingWorx</w:t>
      </w:r>
      <w:proofErr w:type="spellEnd"/>
      <w:r>
        <w:rPr>
          <w:sz w:val="24"/>
        </w:rPr>
        <w:t xml:space="preserve"> to broaden the ability of developers, data service providers, and enterprise customers to bring </w:t>
      </w:r>
      <w:proofErr w:type="spellStart"/>
      <w:r>
        <w:rPr>
          <w:sz w:val="24"/>
        </w:rPr>
        <w:t>IoT</w:t>
      </w:r>
      <w:proofErr w:type="spellEnd"/>
      <w:r>
        <w:rPr>
          <w:sz w:val="24"/>
        </w:rPr>
        <w:t xml:space="preserve"> solutions to the market quickly and affordably.”</w:t>
      </w:r>
    </w:p>
    <w:p w:rsidR="002237A0" w:rsidRDefault="002237A0">
      <w:pPr>
        <w:pStyle w:val="Normal1"/>
        <w:spacing w:after="0" w:line="240" w:lineRule="auto"/>
      </w:pPr>
    </w:p>
    <w:p w:rsidR="002237A0" w:rsidRDefault="00EC02C9">
      <w:pPr>
        <w:pStyle w:val="Normal1"/>
        <w:spacing w:after="0" w:line="240" w:lineRule="auto"/>
      </w:pPr>
      <w:r>
        <w:rPr>
          <w:sz w:val="24"/>
        </w:rPr>
        <w:t xml:space="preserve">“With the rapid growth of our industry, </w:t>
      </w:r>
      <w:proofErr w:type="spellStart"/>
      <w:r>
        <w:rPr>
          <w:sz w:val="24"/>
        </w:rPr>
        <w:t>IoT</w:t>
      </w:r>
      <w:proofErr w:type="spellEnd"/>
      <w:r>
        <w:rPr>
          <w:sz w:val="24"/>
        </w:rPr>
        <w:t xml:space="preserve"> vendors must join together to add value and reduce risk, so customers may enjoy the true potential of the technology,” said Chris Kuntz, vice president, Ecosystem Programs at </w:t>
      </w:r>
      <w:proofErr w:type="spellStart"/>
      <w:r>
        <w:rPr>
          <w:sz w:val="24"/>
        </w:rPr>
        <w:t>ThingWorx</w:t>
      </w:r>
      <w:proofErr w:type="spellEnd"/>
      <w:r>
        <w:rPr>
          <w:sz w:val="24"/>
        </w:rPr>
        <w:t xml:space="preserve">, a </w:t>
      </w:r>
      <w:proofErr w:type="gramStart"/>
      <w:r>
        <w:rPr>
          <w:sz w:val="24"/>
        </w:rPr>
        <w:t>PTC  Business</w:t>
      </w:r>
      <w:proofErr w:type="gramEnd"/>
      <w:r>
        <w:rPr>
          <w:sz w:val="24"/>
        </w:rPr>
        <w:t>. “</w:t>
      </w:r>
      <w:proofErr w:type="spellStart"/>
      <w:r>
        <w:rPr>
          <w:sz w:val="24"/>
        </w:rPr>
        <w:t>wot.io’s</w:t>
      </w:r>
      <w:proofErr w:type="spellEnd"/>
      <w:r>
        <w:rPr>
          <w:sz w:val="24"/>
        </w:rPr>
        <w:t xml:space="preserve"> data service exchange eases </w:t>
      </w:r>
      <w:proofErr w:type="spellStart"/>
      <w:r>
        <w:rPr>
          <w:sz w:val="24"/>
        </w:rPr>
        <w:t>IoT</w:t>
      </w:r>
      <w:proofErr w:type="spellEnd"/>
      <w:r>
        <w:rPr>
          <w:sz w:val="24"/>
        </w:rPr>
        <w:t xml:space="preserve"> deployments and promotes innovation through its openness and scalability. </w:t>
      </w:r>
      <w:proofErr w:type="gramStart"/>
      <w:r>
        <w:rPr>
          <w:sz w:val="24"/>
        </w:rPr>
        <w:t>wot.io</w:t>
      </w:r>
      <w:proofErr w:type="gramEnd"/>
      <w:r>
        <w:rPr>
          <w:sz w:val="24"/>
        </w:rPr>
        <w:t xml:space="preserve"> is a valuable addition to our </w:t>
      </w:r>
      <w:proofErr w:type="spellStart"/>
      <w:r>
        <w:rPr>
          <w:sz w:val="24"/>
        </w:rPr>
        <w:t>ThingWorx</w:t>
      </w:r>
      <w:proofErr w:type="spellEnd"/>
      <w:r>
        <w:rPr>
          <w:sz w:val="24"/>
        </w:rPr>
        <w:t xml:space="preserve"> Ready program.”</w:t>
      </w:r>
    </w:p>
    <w:p w:rsidR="002237A0" w:rsidRDefault="002237A0">
      <w:pPr>
        <w:pStyle w:val="Normal1"/>
        <w:spacing w:after="0" w:line="240" w:lineRule="auto"/>
      </w:pPr>
    </w:p>
    <w:p w:rsidR="002237A0" w:rsidRDefault="00EC02C9">
      <w:pPr>
        <w:pStyle w:val="Normal1"/>
        <w:spacing w:after="0" w:line="240" w:lineRule="auto"/>
      </w:pPr>
      <w:r>
        <w:rPr>
          <w:sz w:val="24"/>
        </w:rPr>
        <w:t xml:space="preserve">Visit </w:t>
      </w:r>
      <w:proofErr w:type="spellStart"/>
      <w:r>
        <w:rPr>
          <w:sz w:val="24"/>
        </w:rPr>
        <w:t>wot.io’s</w:t>
      </w:r>
      <w:proofErr w:type="spellEnd"/>
      <w:r>
        <w:rPr>
          <w:sz w:val="24"/>
        </w:rPr>
        <w:t xml:space="preserve"> booth at </w:t>
      </w:r>
      <w:proofErr w:type="spellStart"/>
      <w:r>
        <w:rPr>
          <w:sz w:val="24"/>
        </w:rPr>
        <w:t>LiveWorx</w:t>
      </w:r>
      <w:proofErr w:type="spellEnd"/>
      <w:r>
        <w:rPr>
          <w:sz w:val="24"/>
        </w:rPr>
        <w:t xml:space="preserve"> 2015 in Boston, May 4 - 7 to experience their Smart City Transportation demo.</w:t>
      </w:r>
    </w:p>
    <w:p w:rsidR="002237A0" w:rsidRDefault="002237A0">
      <w:pPr>
        <w:pStyle w:val="Normal1"/>
        <w:spacing w:after="0" w:line="240" w:lineRule="auto"/>
      </w:pPr>
    </w:p>
    <w:p w:rsidR="002237A0" w:rsidRPr="00C34301" w:rsidRDefault="00EC02C9">
      <w:pPr>
        <w:pStyle w:val="Normal1"/>
        <w:spacing w:after="0" w:line="240" w:lineRule="auto"/>
        <w:rPr>
          <w:rFonts w:asciiTheme="majorHAnsi" w:hAnsiTheme="majorHAnsi"/>
        </w:rPr>
      </w:pPr>
      <w:r>
        <w:rPr>
          <w:b/>
          <w:sz w:val="24"/>
        </w:rPr>
        <w:t>About wot.io</w:t>
      </w:r>
      <w:r>
        <w:rPr>
          <w:sz w:val="24"/>
        </w:rPr>
        <w:br/>
      </w:r>
      <w:r w:rsidRPr="00C34301">
        <w:rPr>
          <w:rFonts w:asciiTheme="majorHAnsi" w:eastAsia="Arial" w:hAnsiTheme="majorHAnsi" w:cs="Arial"/>
          <w:sz w:val="24"/>
        </w:rPr>
        <w:t xml:space="preserve">Founded in 2014, wot.io™ is the data service exchange™ for connected device platforms. </w:t>
      </w:r>
      <w:proofErr w:type="gramStart"/>
      <w:r w:rsidRPr="00C34301">
        <w:rPr>
          <w:rFonts w:asciiTheme="majorHAnsi" w:eastAsia="Arial" w:hAnsiTheme="majorHAnsi" w:cs="Arial"/>
          <w:sz w:val="24"/>
        </w:rPr>
        <w:t>wot.io</w:t>
      </w:r>
      <w:proofErr w:type="gramEnd"/>
      <w:r w:rsidRPr="00C34301">
        <w:rPr>
          <w:rFonts w:asciiTheme="majorHAnsi" w:eastAsia="Arial" w:hAnsiTheme="majorHAnsi" w:cs="Arial"/>
          <w:sz w:val="24"/>
        </w:rPr>
        <w:t xml:space="preserve"> enables the enterprise customer to derive significant value from their data while dramatically accelerating time-to-market for Internet of Things (</w:t>
      </w:r>
      <w:proofErr w:type="spellStart"/>
      <w:r w:rsidRPr="00C34301">
        <w:rPr>
          <w:rFonts w:asciiTheme="majorHAnsi" w:eastAsia="Arial" w:hAnsiTheme="majorHAnsi" w:cs="Arial"/>
          <w:sz w:val="24"/>
        </w:rPr>
        <w:t>IoT</w:t>
      </w:r>
      <w:proofErr w:type="spellEnd"/>
      <w:r w:rsidRPr="00C34301">
        <w:rPr>
          <w:rFonts w:asciiTheme="majorHAnsi" w:eastAsia="Arial" w:hAnsiTheme="majorHAnsi" w:cs="Arial"/>
          <w:sz w:val="24"/>
        </w:rPr>
        <w:t xml:space="preserve">) and Machine to Machine (M2M) implementations. </w:t>
      </w:r>
      <w:proofErr w:type="gramStart"/>
      <w:r w:rsidRPr="00C34301">
        <w:rPr>
          <w:rFonts w:asciiTheme="majorHAnsi" w:eastAsia="Arial" w:hAnsiTheme="majorHAnsi" w:cs="Arial"/>
          <w:sz w:val="24"/>
        </w:rPr>
        <w:t>wot.io</w:t>
      </w:r>
      <w:proofErr w:type="gramEnd"/>
      <w:r w:rsidRPr="00C34301">
        <w:rPr>
          <w:rFonts w:asciiTheme="majorHAnsi" w:hAnsiTheme="majorHAnsi"/>
          <w:sz w:val="24"/>
        </w:rPr>
        <w:t xml:space="preserve"> offers</w:t>
      </w:r>
      <w:r w:rsidRPr="00C34301">
        <w:rPr>
          <w:rFonts w:asciiTheme="majorHAnsi" w:eastAsia="Arial" w:hAnsiTheme="majorHAnsi" w:cs="Arial"/>
          <w:sz w:val="24"/>
        </w:rPr>
        <w:t xml:space="preserve"> best-in-class data services which enables customers to focus on building their solution while freeing them from the time consuming effort of making contractual agreements and technically integrating each data service. Through choice, time-to-market and scalability we help our customers to drive ROI and increase revenue with their solution using analytics, business intelligence, data retention, device management, data management, monitoring, reporting, visualization, web API automation and other offerings.</w:t>
      </w:r>
    </w:p>
    <w:p w:rsidR="002237A0" w:rsidRPr="00C34301" w:rsidRDefault="002237A0">
      <w:pPr>
        <w:pStyle w:val="Normal1"/>
        <w:spacing w:after="0" w:line="240" w:lineRule="auto"/>
        <w:rPr>
          <w:rFonts w:asciiTheme="majorHAnsi" w:hAnsiTheme="majorHAnsi"/>
        </w:rPr>
      </w:pPr>
    </w:p>
    <w:p w:rsidR="002237A0" w:rsidRPr="00733CE8" w:rsidRDefault="00EC02C9">
      <w:pPr>
        <w:pStyle w:val="Normal1"/>
        <w:spacing w:after="0" w:line="240" w:lineRule="auto"/>
        <w:rPr>
          <w:rFonts w:asciiTheme="majorHAnsi" w:hAnsiTheme="majorHAnsi"/>
          <w:sz w:val="20"/>
        </w:rPr>
      </w:pPr>
      <w:proofErr w:type="gramStart"/>
      <w:r w:rsidRPr="00733CE8">
        <w:rPr>
          <w:rFonts w:asciiTheme="majorHAnsi" w:hAnsiTheme="majorHAnsi"/>
          <w:sz w:val="20"/>
        </w:rPr>
        <w:lastRenderedPageBreak/>
        <w:t>wot.io</w:t>
      </w:r>
      <w:proofErr w:type="gramEnd"/>
      <w:r w:rsidRPr="00733CE8">
        <w:rPr>
          <w:rFonts w:asciiTheme="majorHAnsi" w:hAnsiTheme="majorHAnsi"/>
          <w:sz w:val="20"/>
        </w:rPr>
        <w:t xml:space="preserve"> and data service exchange are trademarks of WoT.io, Inc. All other company or product names, brands, trademarks, and logos are the property of their respective owners. All rights reserved.</w:t>
      </w:r>
    </w:p>
    <w:p w:rsidR="002237A0" w:rsidRDefault="002237A0">
      <w:pPr>
        <w:pStyle w:val="Normal1"/>
        <w:spacing w:after="0" w:line="240" w:lineRule="auto"/>
      </w:pPr>
    </w:p>
    <w:p w:rsidR="002237A0" w:rsidRDefault="002237A0">
      <w:pPr>
        <w:pStyle w:val="Normal1"/>
        <w:spacing w:after="0" w:line="240" w:lineRule="auto"/>
      </w:pPr>
    </w:p>
    <w:p w:rsidR="002237A0" w:rsidRDefault="00EC02C9">
      <w:pPr>
        <w:pStyle w:val="Normal1"/>
        <w:spacing w:after="0"/>
      </w:pPr>
      <w:proofErr w:type="spellStart"/>
      <w:r>
        <w:rPr>
          <w:b/>
          <w:sz w:val="24"/>
        </w:rPr>
        <w:t>ThingWorx</w:t>
      </w:r>
      <w:proofErr w:type="spellEnd"/>
      <w:r>
        <w:rPr>
          <w:b/>
          <w:sz w:val="24"/>
        </w:rPr>
        <w:t xml:space="preserve"> Ready™ Partner Program</w:t>
      </w:r>
    </w:p>
    <w:p w:rsidR="002237A0" w:rsidRDefault="00EC02C9">
      <w:pPr>
        <w:pStyle w:val="Normal1"/>
      </w:pPr>
      <w:proofErr w:type="spellStart"/>
      <w:r>
        <w:rPr>
          <w:sz w:val="24"/>
        </w:rPr>
        <w:t>ThingWorx</w:t>
      </w:r>
      <w:proofErr w:type="spellEnd"/>
      <w:r>
        <w:rPr>
          <w:sz w:val="24"/>
        </w:rPr>
        <w:t xml:space="preserve"> partners provide a wide variety of products throughout the entire </w:t>
      </w:r>
      <w:proofErr w:type="spellStart"/>
      <w:r>
        <w:rPr>
          <w:sz w:val="24"/>
        </w:rPr>
        <w:t>IoT</w:t>
      </w:r>
      <w:proofErr w:type="spellEnd"/>
      <w:r>
        <w:rPr>
          <w:sz w:val="24"/>
        </w:rPr>
        <w:t xml:space="preserve"> value chain – from software systems and cloud platforms to smart sensors, devices, gateways and machines that make the connected world a reality.  The </w:t>
      </w:r>
      <w:proofErr w:type="spellStart"/>
      <w:r>
        <w:rPr>
          <w:sz w:val="24"/>
        </w:rPr>
        <w:t>ThingWorx</w:t>
      </w:r>
      <w:proofErr w:type="spellEnd"/>
      <w:r>
        <w:rPr>
          <w:sz w:val="24"/>
        </w:rPr>
        <w:t xml:space="preserve"> Ready Partner Program </w:t>
      </w:r>
      <w:r>
        <w:rPr>
          <w:sz w:val="24"/>
          <w:highlight w:val="white"/>
        </w:rPr>
        <w:t xml:space="preserve">allows hardware and software companies to pre-integrate their product with the </w:t>
      </w:r>
      <w:proofErr w:type="spellStart"/>
      <w:r>
        <w:rPr>
          <w:sz w:val="24"/>
          <w:highlight w:val="white"/>
        </w:rPr>
        <w:t>ThingWorx</w:t>
      </w:r>
      <w:proofErr w:type="spellEnd"/>
      <w:r>
        <w:rPr>
          <w:sz w:val="24"/>
          <w:highlight w:val="white"/>
        </w:rPr>
        <w:t xml:space="preserve">® rapid application development platform, greatly simplifying the creation and deployment of </w:t>
      </w:r>
      <w:proofErr w:type="spellStart"/>
      <w:r>
        <w:rPr>
          <w:sz w:val="24"/>
          <w:highlight w:val="white"/>
        </w:rPr>
        <w:t>IoT</w:t>
      </w:r>
      <w:proofErr w:type="spellEnd"/>
      <w:r>
        <w:rPr>
          <w:sz w:val="24"/>
          <w:highlight w:val="white"/>
        </w:rPr>
        <w:t xml:space="preserve"> solutions.  These companies provide a wide variety of products throughout the entire connected world value chain – from software systems and cloud platforms to smart sensors, devices, gateways and machines. Becoming </w:t>
      </w:r>
      <w:proofErr w:type="spellStart"/>
      <w:r>
        <w:rPr>
          <w:sz w:val="24"/>
          <w:highlight w:val="white"/>
        </w:rPr>
        <w:t>ThingWorx</w:t>
      </w:r>
      <w:proofErr w:type="spellEnd"/>
      <w:r>
        <w:rPr>
          <w:sz w:val="24"/>
          <w:highlight w:val="white"/>
        </w:rPr>
        <w:t xml:space="preserve"> Ready enables customers to reduce the cost and risk of Internet of Things deployments for end customers, helping accelerate the growth of the overall space.</w:t>
      </w:r>
    </w:p>
    <w:p w:rsidR="002237A0" w:rsidRPr="00733CE8" w:rsidRDefault="00EC02C9">
      <w:pPr>
        <w:pStyle w:val="Normal1"/>
        <w:spacing w:after="0" w:line="240" w:lineRule="auto"/>
        <w:rPr>
          <w:color w:val="auto"/>
        </w:rPr>
      </w:pPr>
      <w:proofErr w:type="spellStart"/>
      <w:r w:rsidRPr="00733CE8">
        <w:rPr>
          <w:color w:val="auto"/>
          <w:sz w:val="20"/>
        </w:rPr>
        <w:t>ThingWorx</w:t>
      </w:r>
      <w:proofErr w:type="spellEnd"/>
      <w:r w:rsidRPr="00733CE8">
        <w:rPr>
          <w:color w:val="auto"/>
          <w:sz w:val="20"/>
        </w:rPr>
        <w:t xml:space="preserve">, </w:t>
      </w:r>
      <w:proofErr w:type="spellStart"/>
      <w:r w:rsidRPr="00733CE8">
        <w:rPr>
          <w:color w:val="auto"/>
          <w:sz w:val="20"/>
        </w:rPr>
        <w:t>ThingWorx</w:t>
      </w:r>
      <w:proofErr w:type="spellEnd"/>
      <w:r w:rsidRPr="00733CE8">
        <w:rPr>
          <w:color w:val="auto"/>
          <w:sz w:val="20"/>
        </w:rPr>
        <w:t xml:space="preserve"> Ready and PTC are trademarks or registered trademarks of PTC Inc. or its subsidiaries in the United States and in other countries.</w:t>
      </w:r>
    </w:p>
    <w:p w:rsidR="002237A0" w:rsidRDefault="002237A0">
      <w:pPr>
        <w:pStyle w:val="Normal1"/>
      </w:pPr>
    </w:p>
    <w:p w:rsidR="002237A0" w:rsidRDefault="00EC02C9">
      <w:pPr>
        <w:pStyle w:val="Normal1"/>
        <w:jc w:val="center"/>
      </w:pPr>
      <w:r>
        <w:rPr>
          <w:sz w:val="24"/>
        </w:rPr>
        <w:t>###</w:t>
      </w:r>
    </w:p>
    <w:p w:rsidR="002237A0" w:rsidRDefault="00EC02C9">
      <w:pPr>
        <w:pStyle w:val="Normal1"/>
        <w:spacing w:after="0" w:line="240" w:lineRule="auto"/>
      </w:pPr>
      <w:r>
        <w:rPr>
          <w:b/>
          <w:sz w:val="24"/>
        </w:rPr>
        <w:t xml:space="preserve">Media Contact: </w:t>
      </w:r>
    </w:p>
    <w:p w:rsidR="0099327C" w:rsidRPr="0099327C" w:rsidRDefault="0099327C" w:rsidP="0099327C">
      <w:pPr>
        <w:spacing w:after="0"/>
        <w:rPr>
          <w:szCs w:val="22"/>
        </w:rPr>
      </w:pPr>
      <w:r w:rsidRPr="0099327C">
        <w:rPr>
          <w:szCs w:val="22"/>
        </w:rPr>
        <w:t>Rita Schuerman</w:t>
      </w:r>
    </w:p>
    <w:p w:rsidR="0099327C" w:rsidRPr="0099327C" w:rsidRDefault="0099327C" w:rsidP="0099327C">
      <w:pPr>
        <w:spacing w:after="0"/>
        <w:rPr>
          <w:szCs w:val="22"/>
        </w:rPr>
      </w:pPr>
      <w:r w:rsidRPr="0099327C">
        <w:rPr>
          <w:szCs w:val="22"/>
        </w:rPr>
        <w:t xml:space="preserve">Email: </w:t>
      </w:r>
      <w:hyperlink r:id="rId6" w:history="1">
        <w:r w:rsidRPr="0099327C">
          <w:rPr>
            <w:rStyle w:val="Hyperlink"/>
            <w:szCs w:val="22"/>
          </w:rPr>
          <w:t>rita@wot.io</w:t>
        </w:r>
      </w:hyperlink>
      <w:r w:rsidRPr="0099327C">
        <w:rPr>
          <w:color w:val="1155CC"/>
          <w:szCs w:val="22"/>
          <w:u w:val="single"/>
        </w:rPr>
        <w:t xml:space="preserve">  </w:t>
      </w:r>
    </w:p>
    <w:p w:rsidR="002237A0" w:rsidRPr="0099327C" w:rsidRDefault="0099327C" w:rsidP="0099327C">
      <w:pPr>
        <w:spacing w:after="0"/>
        <w:rPr>
          <w:szCs w:val="22"/>
        </w:rPr>
      </w:pPr>
      <w:r w:rsidRPr="0099327C">
        <w:rPr>
          <w:szCs w:val="22"/>
        </w:rPr>
        <w:t>+1 (215) 510-2632</w:t>
      </w:r>
    </w:p>
    <w:p w:rsidR="002237A0" w:rsidRDefault="002237A0">
      <w:pPr>
        <w:pStyle w:val="Normal1"/>
      </w:pPr>
    </w:p>
    <w:p w:rsidR="002237A0" w:rsidRDefault="002237A0">
      <w:pPr>
        <w:pStyle w:val="Normal1"/>
      </w:pPr>
    </w:p>
    <w:p w:rsidR="002237A0" w:rsidRDefault="00EC02C9">
      <w:pPr>
        <w:pStyle w:val="Normal1"/>
        <w:tabs>
          <w:tab w:val="left" w:pos="3052"/>
        </w:tabs>
      </w:pPr>
      <w:r>
        <w:rPr>
          <w:sz w:val="24"/>
        </w:rPr>
        <w:tab/>
      </w:r>
    </w:p>
    <w:sectPr w:rsidR="002237A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FB9" w:rsidRDefault="00E10FB9">
      <w:pPr>
        <w:spacing w:after="0" w:line="240" w:lineRule="auto"/>
      </w:pPr>
      <w:r>
        <w:separator/>
      </w:r>
    </w:p>
  </w:endnote>
  <w:endnote w:type="continuationSeparator" w:id="0">
    <w:p w:rsidR="00E10FB9" w:rsidRDefault="00E1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FB9" w:rsidRDefault="00E10FB9">
      <w:pPr>
        <w:spacing w:after="0" w:line="240" w:lineRule="auto"/>
      </w:pPr>
      <w:r>
        <w:separator/>
      </w:r>
    </w:p>
  </w:footnote>
  <w:footnote w:type="continuationSeparator" w:id="0">
    <w:p w:rsidR="00E10FB9" w:rsidRDefault="00E10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BCC" w:rsidRDefault="002A5BCC">
    <w:pPr>
      <w:pStyle w:val="Normal1"/>
      <w:spacing w:before="720" w:after="0"/>
    </w:pPr>
    <w:r>
      <w:rPr>
        <w:rFonts w:ascii="Helv" w:eastAsia="Helv" w:hAnsi="Helv" w:cs="Helv"/>
        <w:b/>
        <w:sz w:val="24"/>
      </w:rPr>
      <w:t>News Release</w:t>
    </w:r>
  </w:p>
  <w:p w:rsidR="002A5BCC" w:rsidRDefault="002A5BCC">
    <w:pPr>
      <w:pStyle w:val="Normal1"/>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A0"/>
    <w:rsid w:val="002237A0"/>
    <w:rsid w:val="002A5BCC"/>
    <w:rsid w:val="0037443B"/>
    <w:rsid w:val="0038334F"/>
    <w:rsid w:val="0040538C"/>
    <w:rsid w:val="005A774B"/>
    <w:rsid w:val="006A55B8"/>
    <w:rsid w:val="00733CE8"/>
    <w:rsid w:val="009628CC"/>
    <w:rsid w:val="0099327C"/>
    <w:rsid w:val="009F3534"/>
    <w:rsid w:val="00B55F4E"/>
    <w:rsid w:val="00C34301"/>
    <w:rsid w:val="00DF1A04"/>
    <w:rsid w:val="00E10FB9"/>
    <w:rsid w:val="00E73442"/>
    <w:rsid w:val="00EC0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9A25CA7-E130-4253-9A1A-EC7CB0F3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C02C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2C9"/>
    <w:rPr>
      <w:rFonts w:ascii="Lucida Grande" w:hAnsi="Lucida Grande" w:cs="Lucida Grande"/>
      <w:sz w:val="18"/>
      <w:szCs w:val="18"/>
    </w:rPr>
  </w:style>
  <w:style w:type="paragraph" w:styleId="Header">
    <w:name w:val="header"/>
    <w:basedOn w:val="Normal"/>
    <w:link w:val="HeaderChar"/>
    <w:uiPriority w:val="99"/>
    <w:unhideWhenUsed/>
    <w:rsid w:val="00B55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F4E"/>
  </w:style>
  <w:style w:type="paragraph" w:styleId="Footer">
    <w:name w:val="footer"/>
    <w:basedOn w:val="Normal"/>
    <w:link w:val="FooterChar"/>
    <w:uiPriority w:val="99"/>
    <w:unhideWhenUsed/>
    <w:rsid w:val="00B55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F4E"/>
  </w:style>
  <w:style w:type="character" w:styleId="Hyperlink">
    <w:name w:val="Hyperlink"/>
    <w:basedOn w:val="DefaultParagraphFont"/>
    <w:uiPriority w:val="99"/>
    <w:unhideWhenUsed/>
    <w:rsid w:val="00993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ta@wot.i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3473</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wot.io</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5</cp:revision>
  <dcterms:created xsi:type="dcterms:W3CDTF">2015-05-04T13:53:00Z</dcterms:created>
  <dcterms:modified xsi:type="dcterms:W3CDTF">2015-05-04T16:40:00Z</dcterms:modified>
</cp:coreProperties>
</file>