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D8" w:rsidRDefault="005D44D8" w:rsidP="002D6B88">
      <w:pPr>
        <w:rPr>
          <w:b/>
          <w:sz w:val="24"/>
          <w:szCs w:val="24"/>
        </w:rPr>
      </w:pPr>
    </w:p>
    <w:p w:rsidR="00CE67B0" w:rsidRDefault="00CE67B0" w:rsidP="002D15BB">
      <w:pPr>
        <w:spacing w:after="0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In April, 2014, the </w:t>
      </w:r>
      <w:hyperlink r:id="rId8" w:history="1">
        <w:r w:rsidRPr="00591CA7">
          <w:rPr>
            <w:rStyle w:val="Hyperlink"/>
            <w:rFonts w:ascii="Verdana" w:hAnsi="Verdana" w:cs="Times New Roman"/>
            <w:b/>
          </w:rPr>
          <w:t>US Security and Exchange Commission</w:t>
        </w:r>
      </w:hyperlink>
      <w:r>
        <w:rPr>
          <w:rFonts w:ascii="Verdana" w:hAnsi="Verdana" w:cs="Times New Roman"/>
          <w:b/>
        </w:rPr>
        <w:t xml:space="preserve">’s Office of Compliance and Inspections and Examinations (OCIE) announced a new series of Cybersecurity guidelines that focused on both examination preparedness and security best-practices. </w:t>
      </w:r>
    </w:p>
    <w:p w:rsidR="00CE67B0" w:rsidRDefault="00CE67B0" w:rsidP="002D15BB">
      <w:pPr>
        <w:spacing w:after="0"/>
        <w:rPr>
          <w:rFonts w:ascii="Verdana" w:hAnsi="Verdana" w:cs="Times New Roman"/>
          <w:b/>
        </w:rPr>
      </w:pPr>
    </w:p>
    <w:p w:rsidR="007C4AB9" w:rsidRPr="00320F48" w:rsidRDefault="00500445" w:rsidP="002D15BB">
      <w:pPr>
        <w:spacing w:after="0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In response,</w:t>
      </w:r>
      <w:r w:rsidR="00CE67B0">
        <w:rPr>
          <w:rFonts w:ascii="Verdana" w:hAnsi="Verdana" w:cs="Times New Roman"/>
          <w:b/>
        </w:rPr>
        <w:t xml:space="preserve"> </w:t>
      </w:r>
      <w:r>
        <w:rPr>
          <w:rFonts w:ascii="Verdana" w:hAnsi="Verdana" w:cs="Times New Roman"/>
          <w:b/>
        </w:rPr>
        <w:t xml:space="preserve">The LCO Group has launched a new </w:t>
      </w:r>
      <w:hyperlink r:id="rId9" w:history="1">
        <w:r w:rsidRPr="00591CA7">
          <w:rPr>
            <w:rStyle w:val="Hyperlink"/>
            <w:rFonts w:ascii="Verdana" w:hAnsi="Verdana" w:cs="Times New Roman"/>
            <w:b/>
          </w:rPr>
          <w:t>Managed Security O</w:t>
        </w:r>
        <w:r w:rsidR="00320F48" w:rsidRPr="00591CA7">
          <w:rPr>
            <w:rStyle w:val="Hyperlink"/>
            <w:rFonts w:ascii="Verdana" w:hAnsi="Verdana" w:cs="Times New Roman"/>
            <w:b/>
          </w:rPr>
          <w:t>ffering</w:t>
        </w:r>
      </w:hyperlink>
      <w:r w:rsidR="00320F48" w:rsidRPr="00320F48">
        <w:rPr>
          <w:rFonts w:ascii="Verdana" w:hAnsi="Verdana" w:cs="Times New Roman"/>
          <w:b/>
        </w:rPr>
        <w:t xml:space="preserve"> targeting small to mid-sized businesses that have both fiduciary and legal obligations to protect their networks from external attack</w:t>
      </w:r>
    </w:p>
    <w:p w:rsidR="00320F48" w:rsidRDefault="00320F48" w:rsidP="002D15BB">
      <w:pPr>
        <w:spacing w:after="0"/>
        <w:rPr>
          <w:rFonts w:ascii="Verdana" w:hAnsi="Verdana" w:cs="Times New Roman"/>
        </w:rPr>
      </w:pPr>
    </w:p>
    <w:p w:rsidR="00320F48" w:rsidRDefault="00391051" w:rsidP="002D15BB">
      <w:pPr>
        <w:spacing w:after="0"/>
        <w:rPr>
          <w:rFonts w:ascii="Verdana" w:hAnsi="Verdana"/>
        </w:rPr>
      </w:pPr>
      <w:r>
        <w:rPr>
          <w:rFonts w:ascii="Verdana" w:hAnsi="Verdana"/>
        </w:rPr>
        <w:t>OVERVIEW:</w:t>
      </w:r>
      <w:r w:rsidR="00320F48">
        <w:rPr>
          <w:rFonts w:ascii="Verdana" w:hAnsi="Verdana"/>
        </w:rPr>
        <w:t xml:space="preserve"> The LCO Group’s </w:t>
      </w:r>
      <w:r w:rsidR="00500445">
        <w:rPr>
          <w:rFonts w:ascii="Verdana" w:hAnsi="Verdana"/>
        </w:rPr>
        <w:t>Threatvector Shield</w:t>
      </w:r>
      <w:r w:rsidR="00BA4CC4">
        <w:rPr>
          <w:rFonts w:ascii="Verdana" w:hAnsi="Verdana"/>
        </w:rPr>
        <w:t xml:space="preserve"> Managed Security offering is a robust, </w:t>
      </w:r>
      <w:r>
        <w:rPr>
          <w:rFonts w:ascii="Verdana" w:hAnsi="Verdana"/>
        </w:rPr>
        <w:t>scalable</w:t>
      </w:r>
      <w:r w:rsidR="00BA4CC4">
        <w:rPr>
          <w:rFonts w:ascii="Verdana" w:hAnsi="Verdana"/>
        </w:rPr>
        <w:t xml:space="preserve"> service that allows organizations concerned about the incre</w:t>
      </w:r>
      <w:bookmarkStart w:id="0" w:name="_GoBack"/>
      <w:bookmarkEnd w:id="0"/>
      <w:r w:rsidR="00BA4CC4">
        <w:rPr>
          <w:rFonts w:ascii="Verdana" w:hAnsi="Verdana"/>
        </w:rPr>
        <w:t>asing cyber security threats to easily deploy and manage the threat environment with powerful, flexible alerting and mitigation options.</w:t>
      </w:r>
    </w:p>
    <w:p w:rsidR="00BA4CC4" w:rsidRDefault="00BA4CC4" w:rsidP="002D15BB">
      <w:pPr>
        <w:spacing w:after="0"/>
        <w:rPr>
          <w:rFonts w:ascii="Verdana" w:hAnsi="Verdana"/>
        </w:rPr>
      </w:pPr>
    </w:p>
    <w:p w:rsidR="00BA4CC4" w:rsidRDefault="00BA4CC4" w:rsidP="002D15BB">
      <w:pPr>
        <w:spacing w:after="0"/>
        <w:rPr>
          <w:rFonts w:ascii="Verdana" w:hAnsi="Verdana"/>
        </w:rPr>
      </w:pPr>
      <w:r>
        <w:rPr>
          <w:rFonts w:ascii="Verdana" w:hAnsi="Verdana"/>
        </w:rPr>
        <w:t>New York, January 2016</w:t>
      </w:r>
    </w:p>
    <w:p w:rsidR="00BA4CC4" w:rsidRDefault="00BA4CC4" w:rsidP="002D15BB">
      <w:pPr>
        <w:spacing w:after="0"/>
        <w:rPr>
          <w:rFonts w:ascii="Verdana" w:hAnsi="Verdana"/>
        </w:rPr>
      </w:pPr>
    </w:p>
    <w:p w:rsidR="00BA4CC4" w:rsidRDefault="00BD503D" w:rsidP="002D15BB">
      <w:pPr>
        <w:spacing w:after="0"/>
      </w:pPr>
      <w:hyperlink r:id="rId10" w:tooltip="Click this link." w:history="1">
        <w:r w:rsidR="00BA4CC4">
          <w:rPr>
            <w:rStyle w:val="Hyperlink"/>
          </w:rPr>
          <w:t>The LCO Group,</w:t>
        </w:r>
      </w:hyperlink>
      <w:r w:rsidR="00BA4CC4">
        <w:t xml:space="preserve"> a leading provider of </w:t>
      </w:r>
      <w:hyperlink r:id="rId11" w:tooltip="Click this link." w:history="1">
        <w:r w:rsidR="00BA4CC4">
          <w:rPr>
            <w:rStyle w:val="Hyperlink"/>
          </w:rPr>
          <w:t>technology consulting services</w:t>
        </w:r>
      </w:hyperlink>
      <w:r w:rsidR="00BA4CC4">
        <w:t xml:space="preserve"> in New York City, announced today that they have </w:t>
      </w:r>
      <w:r w:rsidR="00CE67B0">
        <w:t>launched</w:t>
      </w:r>
      <w:r w:rsidR="00BA4CC4">
        <w:t xml:space="preserve"> their </w:t>
      </w:r>
      <w:r w:rsidR="00500445">
        <w:t>Threatvector Shield</w:t>
      </w:r>
      <w:r w:rsidR="00BA4CC4">
        <w:t xml:space="preserve"> Managed Security offering, for small to mid-size businesses in the </w:t>
      </w:r>
      <w:r w:rsidR="00391051">
        <w:t>tristate</w:t>
      </w:r>
      <w:r w:rsidR="00BA4CC4">
        <w:t xml:space="preserve"> area.</w:t>
      </w:r>
    </w:p>
    <w:p w:rsidR="00BB4229" w:rsidRPr="00BB4229" w:rsidRDefault="00BB4229" w:rsidP="00BB4229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heart of the</w:t>
      </w:r>
      <w:r w:rsidRPr="00BB4229">
        <w:rPr>
          <w:rFonts w:asciiTheme="minorHAnsi" w:hAnsiTheme="minorHAnsi"/>
          <w:sz w:val="22"/>
          <w:szCs w:val="22"/>
        </w:rPr>
        <w:t xml:space="preserve"> system is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BB4229">
        <w:rPr>
          <w:rFonts w:asciiTheme="minorHAnsi" w:hAnsiTheme="minorHAnsi"/>
          <w:sz w:val="22"/>
          <w:szCs w:val="22"/>
        </w:rPr>
        <w:t>threat-based heuristic scanning tool that runs c</w:t>
      </w:r>
      <w:r>
        <w:rPr>
          <w:rFonts w:asciiTheme="minorHAnsi" w:hAnsiTheme="minorHAnsi"/>
          <w:sz w:val="22"/>
          <w:szCs w:val="22"/>
        </w:rPr>
        <w:t>ontinuously in real-time on company</w:t>
      </w:r>
      <w:r w:rsidRPr="00BB4229">
        <w:rPr>
          <w:rFonts w:asciiTheme="minorHAnsi" w:hAnsiTheme="minorHAnsi"/>
          <w:sz w:val="22"/>
          <w:szCs w:val="22"/>
        </w:rPr>
        <w:t xml:space="preserve"> network</w:t>
      </w:r>
      <w:r>
        <w:rPr>
          <w:rFonts w:asciiTheme="minorHAnsi" w:hAnsiTheme="minorHAnsi"/>
          <w:sz w:val="22"/>
          <w:szCs w:val="22"/>
        </w:rPr>
        <w:t>s</w:t>
      </w:r>
      <w:r w:rsidRPr="00BB4229">
        <w:rPr>
          <w:rFonts w:asciiTheme="minorHAnsi" w:hAnsiTheme="minorHAnsi"/>
          <w:sz w:val="22"/>
          <w:szCs w:val="22"/>
        </w:rPr>
        <w:t xml:space="preserve"> and monitors the major threat areas for suspicious behavior. Whether this is from users attempting to login repeatedly from overseas locations, issues affecting the entire network, or anomalous behavior</w:t>
      </w:r>
      <w:r>
        <w:rPr>
          <w:rFonts w:asciiTheme="minorHAnsi" w:hAnsiTheme="minorHAnsi"/>
          <w:sz w:val="22"/>
          <w:szCs w:val="22"/>
        </w:rPr>
        <w:t xml:space="preserve"> from a single workstation, the </w:t>
      </w:r>
      <w:r w:rsidR="00500445">
        <w:rPr>
          <w:rFonts w:asciiTheme="minorHAnsi" w:hAnsiTheme="minorHAnsi"/>
          <w:sz w:val="22"/>
          <w:szCs w:val="22"/>
        </w:rPr>
        <w:t>Threatvector Shield</w:t>
      </w:r>
      <w:r>
        <w:rPr>
          <w:rFonts w:asciiTheme="minorHAnsi" w:hAnsiTheme="minorHAnsi"/>
          <w:sz w:val="22"/>
          <w:szCs w:val="22"/>
        </w:rPr>
        <w:t xml:space="preserve"> system will give </w:t>
      </w:r>
      <w:r w:rsidRPr="00BB4229">
        <w:rPr>
          <w:rFonts w:asciiTheme="minorHAnsi" w:hAnsiTheme="minorHAnsi"/>
          <w:sz w:val="22"/>
          <w:szCs w:val="22"/>
        </w:rPr>
        <w:t>a clear and constant view i</w:t>
      </w:r>
      <w:r>
        <w:rPr>
          <w:rFonts w:asciiTheme="minorHAnsi" w:hAnsiTheme="minorHAnsi"/>
          <w:sz w:val="22"/>
          <w:szCs w:val="22"/>
        </w:rPr>
        <w:t xml:space="preserve">nto the inner workings of an underlying </w:t>
      </w:r>
      <w:r w:rsidR="00500445">
        <w:rPr>
          <w:rFonts w:asciiTheme="minorHAnsi" w:hAnsiTheme="minorHAnsi"/>
          <w:sz w:val="22"/>
          <w:szCs w:val="22"/>
        </w:rPr>
        <w:t>i</w:t>
      </w:r>
      <w:r w:rsidRPr="00BB4229">
        <w:rPr>
          <w:rFonts w:asciiTheme="minorHAnsi" w:hAnsiTheme="minorHAnsi"/>
          <w:sz w:val="22"/>
          <w:szCs w:val="22"/>
        </w:rPr>
        <w:t>nfrastructure.</w:t>
      </w:r>
    </w:p>
    <w:p w:rsidR="00BB4229" w:rsidRDefault="00BB4229" w:rsidP="00BB4229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500445">
        <w:rPr>
          <w:rFonts w:asciiTheme="minorHAnsi" w:hAnsiTheme="minorHAnsi"/>
          <w:sz w:val="22"/>
          <w:szCs w:val="22"/>
        </w:rPr>
        <w:t>Threatvector Shield</w:t>
      </w:r>
      <w:r w:rsidRPr="00BB4229">
        <w:rPr>
          <w:rFonts w:asciiTheme="minorHAnsi" w:hAnsiTheme="minorHAnsi"/>
          <w:sz w:val="22"/>
          <w:szCs w:val="22"/>
        </w:rPr>
        <w:t xml:space="preserve"> offering comes in several flavors; the Alarm package offers you basic detection capabilities, the Enhanced offers more advanced detection capabilities, and the Pro system includes remediation.</w:t>
      </w:r>
    </w:p>
    <w:p w:rsidR="00BB4229" w:rsidRDefault="00BB4229" w:rsidP="00BB4229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Features include active and passive network scanning, asset inventory, host-based software inventory, file integrity monitoring, continuous vulnerability monitoring, and a full suite of compliance reporting options.</w:t>
      </w:r>
    </w:p>
    <w:p w:rsidR="00BB4229" w:rsidRDefault="00BB4229" w:rsidP="00BB4229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businesses that are looking to reap the benefits of a powerful, but value-priced security offering, </w:t>
      </w:r>
      <w:r w:rsidR="00500445">
        <w:rPr>
          <w:rFonts w:asciiTheme="minorHAnsi" w:hAnsiTheme="minorHAnsi"/>
          <w:sz w:val="22"/>
          <w:szCs w:val="22"/>
        </w:rPr>
        <w:t>Threatvector Shield</w:t>
      </w:r>
      <w:r>
        <w:rPr>
          <w:rFonts w:asciiTheme="minorHAnsi" w:hAnsiTheme="minorHAnsi"/>
          <w:sz w:val="22"/>
          <w:szCs w:val="22"/>
        </w:rPr>
        <w:t xml:space="preserve"> by LCO offers the next generation of security alerting and management.</w:t>
      </w:r>
    </w:p>
    <w:p w:rsidR="00BB4229" w:rsidRPr="00964FD3" w:rsidRDefault="00BD503D" w:rsidP="00BB4229">
      <w:pPr>
        <w:pStyle w:val="NormalWeb"/>
        <w:rPr>
          <w:rFonts w:asciiTheme="minorHAnsi" w:hAnsiTheme="minorHAnsi"/>
          <w:sz w:val="22"/>
          <w:szCs w:val="22"/>
        </w:rPr>
      </w:pPr>
      <w:hyperlink r:id="rId12" w:tooltip="Click this link." w:history="1">
        <w:r w:rsidR="00BB4229" w:rsidRPr="00964FD3">
          <w:rPr>
            <w:rStyle w:val="Hyperlink"/>
            <w:rFonts w:asciiTheme="minorHAnsi" w:hAnsiTheme="minorHAnsi"/>
            <w:sz w:val="22"/>
            <w:szCs w:val="22"/>
          </w:rPr>
          <w:t>The LCO Group</w:t>
        </w:r>
      </w:hyperlink>
      <w:r w:rsidR="00BB4229" w:rsidRPr="00964FD3">
        <w:rPr>
          <w:rFonts w:asciiTheme="minorHAnsi" w:hAnsiTheme="minorHAnsi"/>
          <w:sz w:val="22"/>
          <w:szCs w:val="22"/>
        </w:rPr>
        <w:t xml:space="preserve"> is New York’s leading provider of next generation technology services. LCO’s other offerings include complete infrastructure support, managed services, security assessments, compliance analysis, 24x7 network and server monitoring, and other </w:t>
      </w:r>
      <w:hyperlink r:id="rId13" w:tooltip="Click this link." w:history="1">
        <w:r w:rsidR="00BB4229" w:rsidRPr="00964FD3">
          <w:rPr>
            <w:rStyle w:val="Hyperlink"/>
            <w:rFonts w:asciiTheme="minorHAnsi" w:hAnsiTheme="minorHAnsi"/>
            <w:sz w:val="22"/>
            <w:szCs w:val="22"/>
          </w:rPr>
          <w:t>outsourced consulting services.</w:t>
        </w:r>
      </w:hyperlink>
    </w:p>
    <w:p w:rsidR="00964FD3" w:rsidRPr="00964FD3" w:rsidRDefault="00964FD3" w:rsidP="00BB4229">
      <w:pPr>
        <w:pStyle w:val="NormalWeb"/>
        <w:rPr>
          <w:rFonts w:asciiTheme="minorHAnsi" w:hAnsiTheme="minorHAnsi"/>
          <w:b/>
          <w:sz w:val="22"/>
          <w:szCs w:val="22"/>
        </w:rPr>
      </w:pPr>
    </w:p>
    <w:p w:rsidR="00BB4229" w:rsidRPr="00CE67B0" w:rsidRDefault="00964FD3" w:rsidP="00CE67B0">
      <w:pPr>
        <w:pStyle w:val="responsivenews"/>
        <w:rPr>
          <w:rFonts w:asciiTheme="minorHAnsi" w:hAnsiTheme="minorHAnsi"/>
          <w:b/>
          <w:sz w:val="22"/>
          <w:szCs w:val="22"/>
        </w:rPr>
      </w:pPr>
      <w:r w:rsidRPr="00964FD3">
        <w:rPr>
          <w:rFonts w:asciiTheme="minorHAnsi" w:hAnsiTheme="minorHAnsi"/>
          <w:b/>
          <w:sz w:val="22"/>
          <w:szCs w:val="22"/>
        </w:rPr>
        <w:t xml:space="preserve">For more information, visit </w:t>
      </w:r>
      <w:hyperlink r:id="rId14" w:history="1">
        <w:r w:rsidRPr="00964FD3">
          <w:rPr>
            <w:rStyle w:val="Hyperlink"/>
            <w:rFonts w:asciiTheme="minorHAnsi" w:hAnsiTheme="minorHAnsi"/>
            <w:b/>
            <w:sz w:val="22"/>
            <w:szCs w:val="22"/>
          </w:rPr>
          <w:t>http://www.thelcogroup.com</w:t>
        </w:r>
      </w:hyperlink>
      <w:r w:rsidRPr="00964FD3">
        <w:rPr>
          <w:rFonts w:asciiTheme="minorHAnsi" w:hAnsiTheme="minorHAnsi"/>
          <w:b/>
          <w:sz w:val="22"/>
          <w:szCs w:val="22"/>
        </w:rPr>
        <w:t>.</w:t>
      </w:r>
    </w:p>
    <w:sectPr w:rsidR="00BB4229" w:rsidRPr="00CE67B0" w:rsidSect="00935DC6">
      <w:headerReference w:type="default" r:id="rId15"/>
      <w:footerReference w:type="default" r:id="rId1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03D" w:rsidRDefault="00BD503D" w:rsidP="00D6568F">
      <w:pPr>
        <w:spacing w:after="0" w:line="240" w:lineRule="auto"/>
      </w:pPr>
      <w:r>
        <w:separator/>
      </w:r>
    </w:p>
  </w:endnote>
  <w:endnote w:type="continuationSeparator" w:id="0">
    <w:p w:rsidR="00BD503D" w:rsidRDefault="00BD503D" w:rsidP="00D6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antGarde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96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28A" w:rsidRDefault="009642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0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428A" w:rsidRDefault="009642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03D" w:rsidRDefault="00BD503D" w:rsidP="00D6568F">
      <w:pPr>
        <w:spacing w:after="0" w:line="240" w:lineRule="auto"/>
      </w:pPr>
      <w:r>
        <w:separator/>
      </w:r>
    </w:p>
  </w:footnote>
  <w:footnote w:type="continuationSeparator" w:id="0">
    <w:p w:rsidR="00BD503D" w:rsidRDefault="00BD503D" w:rsidP="00D6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F02" w:rsidRDefault="000C0F02">
    <w:pPr>
      <w:pStyle w:val="Header"/>
    </w:pPr>
    <w:r>
      <w:rPr>
        <w:b/>
        <w:noProof/>
        <w:sz w:val="32"/>
        <w:szCs w:val="32"/>
      </w:rPr>
      <w:drawing>
        <wp:inline distT="0" distB="0" distL="0" distR="0" wp14:anchorId="0C37D60B" wp14:editId="551B27E1">
          <wp:extent cx="5934075" cy="1104900"/>
          <wp:effectExtent l="19050" t="0" r="9525" b="0"/>
          <wp:docPr id="2" name="Picture 1" descr="LCOHEADER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OHEADERSiz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3719"/>
    <w:multiLevelType w:val="hybridMultilevel"/>
    <w:tmpl w:val="7374B0F2"/>
    <w:lvl w:ilvl="0" w:tplc="9FEE08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473D6"/>
    <w:multiLevelType w:val="hybridMultilevel"/>
    <w:tmpl w:val="EB604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5021"/>
    <w:multiLevelType w:val="hybridMultilevel"/>
    <w:tmpl w:val="A4DAD88E"/>
    <w:lvl w:ilvl="0" w:tplc="8DE65B0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874FB"/>
    <w:multiLevelType w:val="hybridMultilevel"/>
    <w:tmpl w:val="15AA92E4"/>
    <w:lvl w:ilvl="0" w:tplc="F198FD38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264FA"/>
    <w:multiLevelType w:val="hybridMultilevel"/>
    <w:tmpl w:val="DF3ED0C4"/>
    <w:lvl w:ilvl="0" w:tplc="538C7B7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95450"/>
    <w:multiLevelType w:val="hybridMultilevel"/>
    <w:tmpl w:val="E670D3D8"/>
    <w:lvl w:ilvl="0" w:tplc="0F101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8F"/>
    <w:rsid w:val="000230FD"/>
    <w:rsid w:val="000308E1"/>
    <w:rsid w:val="00032D63"/>
    <w:rsid w:val="00034981"/>
    <w:rsid w:val="000615B8"/>
    <w:rsid w:val="00090E32"/>
    <w:rsid w:val="00096DD2"/>
    <w:rsid w:val="000C0A4A"/>
    <w:rsid w:val="000C0F02"/>
    <w:rsid w:val="000F73DF"/>
    <w:rsid w:val="00100CEB"/>
    <w:rsid w:val="00160350"/>
    <w:rsid w:val="00176B90"/>
    <w:rsid w:val="00181A99"/>
    <w:rsid w:val="00182AC7"/>
    <w:rsid w:val="00190011"/>
    <w:rsid w:val="001A00F3"/>
    <w:rsid w:val="001E4D44"/>
    <w:rsid w:val="00237F07"/>
    <w:rsid w:val="002424EB"/>
    <w:rsid w:val="0024444E"/>
    <w:rsid w:val="0027308D"/>
    <w:rsid w:val="00293603"/>
    <w:rsid w:val="002C1C3A"/>
    <w:rsid w:val="002C3F2E"/>
    <w:rsid w:val="002D15BB"/>
    <w:rsid w:val="002D6B88"/>
    <w:rsid w:val="002E587C"/>
    <w:rsid w:val="0030106C"/>
    <w:rsid w:val="00304715"/>
    <w:rsid w:val="00320F48"/>
    <w:rsid w:val="0032121E"/>
    <w:rsid w:val="003244F5"/>
    <w:rsid w:val="00340617"/>
    <w:rsid w:val="0034199A"/>
    <w:rsid w:val="00341E4C"/>
    <w:rsid w:val="00342160"/>
    <w:rsid w:val="00351F8D"/>
    <w:rsid w:val="0035383F"/>
    <w:rsid w:val="003848B3"/>
    <w:rsid w:val="003904B4"/>
    <w:rsid w:val="00391051"/>
    <w:rsid w:val="003A0D6F"/>
    <w:rsid w:val="003F2200"/>
    <w:rsid w:val="003F692C"/>
    <w:rsid w:val="003F6B05"/>
    <w:rsid w:val="00401B28"/>
    <w:rsid w:val="004B4AC5"/>
    <w:rsid w:val="004F15F6"/>
    <w:rsid w:val="00500445"/>
    <w:rsid w:val="00514EC0"/>
    <w:rsid w:val="005155B2"/>
    <w:rsid w:val="00521E5D"/>
    <w:rsid w:val="00523BE4"/>
    <w:rsid w:val="00541BD9"/>
    <w:rsid w:val="00591CA7"/>
    <w:rsid w:val="005A558D"/>
    <w:rsid w:val="005D44D8"/>
    <w:rsid w:val="005E1C4D"/>
    <w:rsid w:val="005E226B"/>
    <w:rsid w:val="005E3548"/>
    <w:rsid w:val="005F51DA"/>
    <w:rsid w:val="005F5465"/>
    <w:rsid w:val="005F6A45"/>
    <w:rsid w:val="00604B52"/>
    <w:rsid w:val="0061715C"/>
    <w:rsid w:val="00632E42"/>
    <w:rsid w:val="00636A1E"/>
    <w:rsid w:val="00653571"/>
    <w:rsid w:val="0068232E"/>
    <w:rsid w:val="006B3162"/>
    <w:rsid w:val="006D4967"/>
    <w:rsid w:val="006D6914"/>
    <w:rsid w:val="006F2CEB"/>
    <w:rsid w:val="00710BDF"/>
    <w:rsid w:val="00710CD9"/>
    <w:rsid w:val="007213B3"/>
    <w:rsid w:val="007254A3"/>
    <w:rsid w:val="007318A1"/>
    <w:rsid w:val="007416C7"/>
    <w:rsid w:val="007474D8"/>
    <w:rsid w:val="007546DF"/>
    <w:rsid w:val="00756753"/>
    <w:rsid w:val="00775D76"/>
    <w:rsid w:val="007C4AB9"/>
    <w:rsid w:val="00801D4F"/>
    <w:rsid w:val="008068E5"/>
    <w:rsid w:val="008615F9"/>
    <w:rsid w:val="008B05FE"/>
    <w:rsid w:val="008D79B5"/>
    <w:rsid w:val="008E004D"/>
    <w:rsid w:val="008F6F9F"/>
    <w:rsid w:val="008F771D"/>
    <w:rsid w:val="00907297"/>
    <w:rsid w:val="00935DC6"/>
    <w:rsid w:val="00936D2C"/>
    <w:rsid w:val="0096428A"/>
    <w:rsid w:val="00964FD3"/>
    <w:rsid w:val="009B1731"/>
    <w:rsid w:val="009E0183"/>
    <w:rsid w:val="009F1F42"/>
    <w:rsid w:val="009F69CD"/>
    <w:rsid w:val="00A15BFE"/>
    <w:rsid w:val="00A162AB"/>
    <w:rsid w:val="00A31597"/>
    <w:rsid w:val="00A93712"/>
    <w:rsid w:val="00AB28F6"/>
    <w:rsid w:val="00AE13CB"/>
    <w:rsid w:val="00AF0710"/>
    <w:rsid w:val="00AF2279"/>
    <w:rsid w:val="00AF7010"/>
    <w:rsid w:val="00B15D72"/>
    <w:rsid w:val="00B24F61"/>
    <w:rsid w:val="00B42A4C"/>
    <w:rsid w:val="00B535F4"/>
    <w:rsid w:val="00B772E0"/>
    <w:rsid w:val="00BA4CC4"/>
    <w:rsid w:val="00BA5895"/>
    <w:rsid w:val="00BA7D5B"/>
    <w:rsid w:val="00BA7FDD"/>
    <w:rsid w:val="00BB4229"/>
    <w:rsid w:val="00BB633B"/>
    <w:rsid w:val="00BC4F2D"/>
    <w:rsid w:val="00BC5E46"/>
    <w:rsid w:val="00BD2DF7"/>
    <w:rsid w:val="00BD503D"/>
    <w:rsid w:val="00BE2E80"/>
    <w:rsid w:val="00C003A8"/>
    <w:rsid w:val="00C048E2"/>
    <w:rsid w:val="00C11B9E"/>
    <w:rsid w:val="00C12C80"/>
    <w:rsid w:val="00C14D32"/>
    <w:rsid w:val="00C25803"/>
    <w:rsid w:val="00C376D7"/>
    <w:rsid w:val="00C53732"/>
    <w:rsid w:val="00C5395A"/>
    <w:rsid w:val="00C55B69"/>
    <w:rsid w:val="00C56474"/>
    <w:rsid w:val="00C60DBA"/>
    <w:rsid w:val="00C773F0"/>
    <w:rsid w:val="00C81FB3"/>
    <w:rsid w:val="00C978F2"/>
    <w:rsid w:val="00CA56D5"/>
    <w:rsid w:val="00CA7FF9"/>
    <w:rsid w:val="00CB2EC8"/>
    <w:rsid w:val="00CB37E5"/>
    <w:rsid w:val="00CB5954"/>
    <w:rsid w:val="00CC325A"/>
    <w:rsid w:val="00CD3BE7"/>
    <w:rsid w:val="00CE0828"/>
    <w:rsid w:val="00CE67B0"/>
    <w:rsid w:val="00CF42AD"/>
    <w:rsid w:val="00CF5081"/>
    <w:rsid w:val="00D10A1E"/>
    <w:rsid w:val="00D12B5F"/>
    <w:rsid w:val="00D24A64"/>
    <w:rsid w:val="00D4346A"/>
    <w:rsid w:val="00D6568F"/>
    <w:rsid w:val="00D7562C"/>
    <w:rsid w:val="00D97D09"/>
    <w:rsid w:val="00DB38C7"/>
    <w:rsid w:val="00DB3CF7"/>
    <w:rsid w:val="00DD66ED"/>
    <w:rsid w:val="00DE201B"/>
    <w:rsid w:val="00E05EA0"/>
    <w:rsid w:val="00E176AA"/>
    <w:rsid w:val="00E25457"/>
    <w:rsid w:val="00E25867"/>
    <w:rsid w:val="00E35397"/>
    <w:rsid w:val="00E375AE"/>
    <w:rsid w:val="00E435C6"/>
    <w:rsid w:val="00E55219"/>
    <w:rsid w:val="00E842AC"/>
    <w:rsid w:val="00E900E7"/>
    <w:rsid w:val="00E9652B"/>
    <w:rsid w:val="00EB58E1"/>
    <w:rsid w:val="00EC7AEA"/>
    <w:rsid w:val="00EC7DB3"/>
    <w:rsid w:val="00EE696A"/>
    <w:rsid w:val="00EF1BEF"/>
    <w:rsid w:val="00EF468D"/>
    <w:rsid w:val="00F079CF"/>
    <w:rsid w:val="00F30F88"/>
    <w:rsid w:val="00F4051C"/>
    <w:rsid w:val="00F86FBC"/>
    <w:rsid w:val="00F878E1"/>
    <w:rsid w:val="00F9346B"/>
    <w:rsid w:val="00F94CF6"/>
    <w:rsid w:val="00FA008D"/>
    <w:rsid w:val="00FA09B8"/>
    <w:rsid w:val="00FA4C82"/>
    <w:rsid w:val="00FB101F"/>
    <w:rsid w:val="00FB2DB5"/>
    <w:rsid w:val="00FE0863"/>
    <w:rsid w:val="00FE63B7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15ED41-DAD5-42F5-AC47-9FDE6138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7213B3"/>
    <w:pPr>
      <w:keepNext/>
      <w:spacing w:after="0" w:line="240" w:lineRule="auto"/>
      <w:outlineLvl w:val="4"/>
    </w:pPr>
    <w:rPr>
      <w:rFonts w:ascii="AvantGarde Medium" w:eastAsia="Times New Roman" w:hAnsi="AvantGarde Medium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6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68F"/>
  </w:style>
  <w:style w:type="paragraph" w:styleId="Footer">
    <w:name w:val="footer"/>
    <w:basedOn w:val="Normal"/>
    <w:link w:val="FooterChar"/>
    <w:uiPriority w:val="99"/>
    <w:unhideWhenUsed/>
    <w:rsid w:val="00D65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68F"/>
  </w:style>
  <w:style w:type="paragraph" w:styleId="Revision">
    <w:name w:val="Revision"/>
    <w:hidden/>
    <w:uiPriority w:val="99"/>
    <w:semiHidden/>
    <w:rsid w:val="007416C7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4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1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7F07"/>
    <w:pPr>
      <w:ind w:left="720"/>
      <w:contextualSpacing/>
    </w:pPr>
  </w:style>
  <w:style w:type="table" w:styleId="TableGrid">
    <w:name w:val="Table Grid"/>
    <w:basedOn w:val="TableNormal"/>
    <w:uiPriority w:val="59"/>
    <w:rsid w:val="00C60D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541B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1B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1BD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1B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1BD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basedOn w:val="TableNormal"/>
    <w:uiPriority w:val="61"/>
    <w:rsid w:val="00541B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541BD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541BD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Heading5Char">
    <w:name w:val="Heading 5 Char"/>
    <w:basedOn w:val="DefaultParagraphFont"/>
    <w:link w:val="Heading5"/>
    <w:rsid w:val="007213B3"/>
    <w:rPr>
      <w:rFonts w:ascii="AvantGarde Medium" w:eastAsia="Times New Roman" w:hAnsi="AvantGarde Medium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7213B3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213B3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72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13B3"/>
    <w:rPr>
      <w:rFonts w:ascii="Times New Roman" w:eastAsia="Times New Roman" w:hAnsi="Times New Roman" w:cs="Times New Roman"/>
      <w:sz w:val="20"/>
      <w:szCs w:val="20"/>
    </w:rPr>
  </w:style>
  <w:style w:type="table" w:customStyle="1" w:styleId="LightShading1">
    <w:name w:val="Light Shading1"/>
    <w:basedOn w:val="TableNormal"/>
    <w:uiPriority w:val="60"/>
    <w:rsid w:val="00C376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greement">
    <w:name w:val="Agreement"/>
    <w:basedOn w:val="Normal"/>
    <w:next w:val="Normal"/>
    <w:uiPriority w:val="99"/>
    <w:rsid w:val="00FA09B8"/>
    <w:pPr>
      <w:widowControl w:val="0"/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360" w:right="360"/>
      <w:jc w:val="both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BA7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4C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ivenews">
    <w:name w:val="responsivenews"/>
    <w:basedOn w:val="Normal"/>
    <w:rsid w:val="0096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.gov/corpfin" TargetMode="External"/><Relationship Id="rId13" Type="http://schemas.openxmlformats.org/officeDocument/2006/relationships/hyperlink" Target="http://thelcogroup.com/it-support-services-overvie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elcogroup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helcogroup.com/managed-cybersecurit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helcogroup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helcogroup.com/managed-cybersecurity/" TargetMode="External"/><Relationship Id="rId14" Type="http://schemas.openxmlformats.org/officeDocument/2006/relationships/hyperlink" Target="file:///C:\Users\Xander\AppData\Local\Microsoft\Windows\INetCache\Content.Outlook\0UG7NGDT\thelco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AE25-1D8D-4C9F-9624-01F5CA57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TheLCOGroup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DJacoby</dc:creator>
  <cp:lastModifiedBy>Xander Kasongo</cp:lastModifiedBy>
  <cp:revision>2</cp:revision>
  <cp:lastPrinted>2016-02-04T21:45:00Z</cp:lastPrinted>
  <dcterms:created xsi:type="dcterms:W3CDTF">2016-02-09T17:07:00Z</dcterms:created>
  <dcterms:modified xsi:type="dcterms:W3CDTF">2016-02-09T17:07:00Z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2071933843</vt:i4>
  </property>
</Properties>
</file>