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Press Release</w:t>
        <w:tab/>
        <w:tab/>
        <w:tab/>
        <w:tab/>
        <w:tab/>
        <w:tab/>
        <w:tab/>
        <w:tab/>
        <w:tab/>
        <w:tab/>
        <w:tab/>
        <w:t xml:space="preserve">     Contacts:</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For Immediate Release</w:t>
        <w:tab/>
        <w:tab/>
        <w:tab/>
        <w:tab/>
        <w:tab/>
        <w:tab/>
        <w:tab/>
        <w:tab/>
        <w:tab/>
        <w:t xml:space="preserve"> Vinitaly International</w:t>
      </w:r>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International Media Dept.                                                                                                                                 </w:t>
      </w:r>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+39 045 8101447</w:t>
      </w:r>
    </w:p>
    <w:p w:rsidR="00000000" w:rsidDel="00000000" w:rsidP="00000000" w:rsidRDefault="00000000" w:rsidRPr="00000000">
      <w:pPr>
        <w:contextualSpacing w:val="0"/>
        <w:jc w:val="right"/>
      </w:pPr>
      <w:hyperlink r:id="rId5">
        <w:r w:rsidDel="00000000" w:rsidR="00000000" w:rsidRPr="00000000">
          <w:rPr>
            <w:rFonts w:ascii="Arial" w:cs="Arial" w:eastAsia="Arial" w:hAnsi="Arial"/>
            <w:color w:val="0000ff"/>
            <w:sz w:val="18"/>
            <w:szCs w:val="18"/>
            <w:u w:val="single"/>
            <w:rtl w:val="0"/>
          </w:rPr>
          <w:t xml:space="preserve">media@vinitalytour.com</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pPr>
        <w:contextualSpacing w:val="0"/>
        <w:jc w:val="right"/>
      </w:pPr>
      <w:hyperlink r:id="rId6">
        <w:r w:rsidDel="00000000" w:rsidR="00000000" w:rsidRPr="00000000">
          <w:rPr>
            <w:rFonts w:ascii="Arial" w:cs="Arial" w:eastAsia="Arial" w:hAnsi="Arial"/>
            <w:color w:val="0000ff"/>
            <w:sz w:val="18"/>
            <w:szCs w:val="18"/>
            <w:u w:val="single"/>
            <w:rtl w:val="0"/>
          </w:rPr>
          <w:t xml:space="preserve">www.vinitalytour.com</w:t>
        </w:r>
      </w:hyperlink>
      <w:hyperlink r:id="rId7">
        <w:r w:rsidDel="00000000" w:rsidR="00000000" w:rsidRPr="00000000">
          <w:rPr>
            <w:rtl w:val="0"/>
          </w:rPr>
        </w:r>
      </w:hyperlink>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Twitter: @VinitalyTour</w:t>
      </w:r>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Join Vinitaly International Network on LinkedIn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660066"/>
          <w:sz w:val="26"/>
          <w:szCs w:val="26"/>
          <w:u w:val="singl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rtl w:val="0"/>
        </w:rPr>
        <w:t xml:space="preserve">At wine2wine, direct from Sweden’s Systembolaget, the first simulated tender tasting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Helvetica Neue" w:cs="Helvetica Neue" w:eastAsia="Helvetica Neue" w:hAnsi="Helvetica Neue"/>
          <w:b w:val="0"/>
          <w:color w:val="000000"/>
          <w:sz w:val="22"/>
          <w:szCs w:val="22"/>
          <w:rtl w:val="0"/>
        </w:rPr>
        <w:t xml:space="preserve">After the successful launch of wine2wine Asia at Vinitaly Hong Kong, Vinitaly International with wine2wine Verona affirms its mission to be an advocate of knowledge-and-trends sharing in the wine business, by including a novel simulation session focused on the Swedish market. The session, held by the Swedish Head of Product Quality Control Jonas Röjerman, will be the first of its kind in Italy, and will demonstrate the mechanisms of selection at Systembolaget, the monopoly for wine distribution to Swedish consumers.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The session aims to address the difficulties facing Italian wine producers who wish to export to Sweden. Often they are due to a lack of preparation, misinformation about the selection, and not, as many believe, a matter of presenting the best wine. An example is the supplier who needs to provide large quantities of wine created to custom-designed specifications, where the quality must remain constant. Additionally, the Swedish market often demands bag-in-box solutions. This informative and practical wine2wine session will offer an exceptional opportunity for 50 attendees to learn more about the System and its procedures, by simulating a tender tasting and demonstrating what really matters during the selection process.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“At Systembolaget, we are quite specific when we ask for wines; the trick for producers and importers is to understand the process of selection”, says Mr. Röjerman. “If you can fulfil what we ask for, then every Italian producer has the same chance to be listed. The best quality will be selected for listing in our range. Our Category team constantly oversees the range of products we present. Italy is by far the market leader in volume and value in the Systembolagets assortment, with quite popular trends such as Amarone and Ripasso.”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The idea of a monopoly in Sweden goes back to the mid 1800s, and was created to minimize alcohol related problems.</w:t>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The country has one of the world’s largest alcoholic beverage retailers, Systembolaget, which responds to a “demand pull” for wine, instead of the classic  “supply push” methodology. Today, the system has one of the most comprehensive product ranges in the world, constantly developed by matching trends and consumers’ tastes, that includes small family-owned vineyards to leading brands. Systembolaget employs trained buyers, each testing several thousand samples in accordance with a tailored demand, but also seasons, celebrations, and international trends and events. Moreover, the system considers trends, like health, and accordingly, offers wines with lower alcohol content or in smaller packages.  Environmental trends have been addressed by promoting recyclable packaging and fair working conditions.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Every year Systembolaget designs a product strategy, the foundation of the system's Launch Plan. This Launch Plan controls what type of drinks will be requested from wine producers. For each Launch, a specification for beverage suppliers is prepared, stating which type of drinks are sought. Based on specifications, suppliers submit samples to be then tested through blind tastings (without information about the brand, supplier or producer) in order to assess the quality. Prior to the launch in stores there is another tasting panel, this time providing facts, aroma and flavour descriptions, and a comprehensive quality control in the laboratory.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Systembolaget is non-discriminatory towards all their beverage suppliers, and the selection criteria includes brand neutrality, transparency, non-discrimination, and objectiveness. There is a clear purchasing policy that relies on thoughtfulness, knowledge and inspiration. There are new launches in stores four times a year, and every Italian wine producer can be listed in the catalog, if the fundamental basic guidelines to the selection process are followed.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The session at wine2wine is open to 50 participants, on a first come first served basis. For more information about wine2wine visit </w:t>
      </w:r>
      <w:hyperlink r:id="rId8">
        <w:r w:rsidDel="00000000" w:rsidR="00000000" w:rsidRPr="00000000">
          <w:rPr>
            <w:rFonts w:ascii="Helvetica Neue" w:cs="Helvetica Neue" w:eastAsia="Helvetica Neue" w:hAnsi="Helvetica Neue"/>
            <w:b w:val="0"/>
            <w:color w:val="1155cc"/>
            <w:sz w:val="22"/>
            <w:szCs w:val="22"/>
            <w:u w:val="single"/>
            <w:rtl w:val="0"/>
          </w:rPr>
          <w:t xml:space="preserve">http://www.wine2wine.net/event</w:t>
        </w:r>
      </w:hyperlink>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sz w:val="22"/>
          <w:szCs w:val="22"/>
          <w:rtl w:val="0"/>
        </w:rPr>
        <w:t xml:space="preserve">We would like to thank Consorzio del Chianti Classico for their invaluable support at the tasting simulation by supplying their wines.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About:</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000000"/>
          <w:sz w:val="22"/>
          <w:szCs w:val="22"/>
          <w:rtl w:val="0"/>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“Finest Italian Wines: 100 Great Producers,” 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9" w:type="default"/>
      <w:footerReference r:id="rId10" w:type="default"/>
      <w:pgSz w:h="16840" w:w="11900"/>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32"/>
      </w:tabs>
      <w:spacing w:after="708" w:before="0" w:line="240" w:lineRule="auto"/>
      <w:contextualSpacing w:val="0"/>
    </w:pPr>
    <w:r w:rsidDel="00000000" w:rsidR="00000000" w:rsidRPr="00000000">
      <w:rPr>
        <w:rFonts w:ascii="Cambria" w:cs="Cambria" w:eastAsia="Cambria" w:hAnsi="Cambria"/>
        <w:b w:val="0"/>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32"/>
      </w:tabs>
      <w:spacing w:after="0" w:before="708" w:line="240" w:lineRule="auto"/>
      <w:contextualSpacing w:val="0"/>
    </w:pPr>
    <w:r w:rsidDel="00000000" w:rsidR="00000000" w:rsidRPr="00000000">
      <w:rPr>
        <w:rFonts w:ascii="Cambria" w:cs="Cambria" w:eastAsia="Cambria" w:hAnsi="Cambria"/>
        <w:b w:val="0"/>
        <w:sz w:val="20"/>
        <w:szCs w:val="20"/>
        <w:rtl w:val="0"/>
      </w:rPr>
      <w:tab/>
    </w:r>
    <w:r w:rsidDel="00000000" w:rsidR="00000000" w:rsidRPr="00000000">
      <w:drawing>
        <wp:inline distB="0" distT="0" distL="0" distR="0">
          <wp:extent cx="1308100" cy="609600"/>
          <wp:effectExtent b="0" l="0" r="0" t="0"/>
          <wp:docPr descr="Descrizione: Macintosh HD:Users:tradecom:Documents:Vinitaly:LOGOS:VINITALY INTERNATIONAL copy.jpg" id="2" name="image03.jpg"/>
          <a:graphic>
            <a:graphicData uri="http://schemas.openxmlformats.org/drawingml/2006/picture">
              <pic:pic>
                <pic:nvPicPr>
                  <pic:cNvPr descr="Descrizione: Macintosh HD:Users:tradecom:Documents:Vinitaly:LOGOS:VINITALY INTERNATIONAL copy.jpg" id="0" name="image03.jpg"/>
                  <pic:cNvPicPr preferRelativeResize="0"/>
                </pic:nvPicPr>
                <pic:blipFill>
                  <a:blip r:embed="rId1"/>
                  <a:srcRect b="0" l="0" r="0" t="0"/>
                  <a:stretch>
                    <a:fillRect/>
                  </a:stretch>
                </pic:blipFill>
                <pic:spPr>
                  <a:xfrm>
                    <a:off x="0" y="0"/>
                    <a:ext cx="1308100" cy="609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-163829</wp:posOffset>
          </wp:positionH>
          <wp:positionV relativeFrom="paragraph">
            <wp:posOffset>58420</wp:posOffset>
          </wp:positionV>
          <wp:extent cx="1143000" cy="581660"/>
          <wp:effectExtent b="0" l="0" r="0" t="0"/>
          <wp:wrapNone/>
          <wp:docPr descr="Macintosh HD:Users:positivepress:Desktop:IMMAGINI:1-LOGHI BELLI:Veronafiere.gif" id="1" name="image01.png"/>
          <a:graphic>
            <a:graphicData uri="http://schemas.openxmlformats.org/drawingml/2006/picture">
              <pic:pic>
                <pic:nvPicPr>
                  <pic:cNvPr descr="Macintosh HD:Users:positivepress:Desktop:IMMAGINI:1-LOGHI BELLI:Veronafiere.gif" id="0" name="image01.png"/>
                  <pic:cNvPicPr preferRelativeResize="0"/>
                </pic:nvPicPr>
                <pic:blipFill>
                  <a:blip r:embed="rId2"/>
                  <a:srcRect b="0" l="0" r="0" t="0"/>
                  <a:stretch>
                    <a:fillRect/>
                  </a:stretch>
                </pic:blipFill>
                <pic:spPr>
                  <a:xfrm>
                    <a:off x="0" y="0"/>
                    <a:ext cx="1143000" cy="581660"/>
                  </a:xfrm>
                  <a:prstGeom prst="rect"/>
                  <a:ln/>
                </pic:spPr>
              </pic:pic>
            </a:graphicData>
          </a:graphic>
        </wp:anchor>
      </w:drawing>
    </w:r>
  </w:p>
  <w:p w:rsidR="00000000" w:rsidDel="00000000" w:rsidP="00000000" w:rsidRDefault="00000000" w:rsidRPr="00000000">
    <w:pPr>
      <w:tabs>
        <w:tab w:val="center" w:pos="4986"/>
        <w:tab w:val="right" w:pos="99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mailto:media@vinitalytour.com" TargetMode="External"/><Relationship Id="rId6" Type="http://schemas.openxmlformats.org/officeDocument/2006/relationships/hyperlink" Target="http://www.vinitalytour.com" TargetMode="External"/><Relationship Id="rId7" Type="http://schemas.openxmlformats.org/officeDocument/2006/relationships/hyperlink" Target="http://www.vinitalytour.com" TargetMode="External"/><Relationship Id="rId8" Type="http://schemas.openxmlformats.org/officeDocument/2006/relationships/hyperlink" Target="http://www.wine2wine.net/ev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 Id="rId2" Type="http://schemas.openxmlformats.org/officeDocument/2006/relationships/image" Target="media/image01.png"/></Relationships>
</file>