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57" w:rsidRDefault="00C94E57" w:rsidP="00F912A1">
      <w:pPr>
        <w:ind w:right="522"/>
        <w:rPr>
          <w:sz w:val="20"/>
        </w:rPr>
      </w:pPr>
      <w:r>
        <w:rPr>
          <w:noProof/>
          <w:sz w:val="20"/>
        </w:rPr>
        <w:drawing>
          <wp:anchor distT="0" distB="0" distL="114300" distR="114300" simplePos="0" relativeHeight="251677696" behindDoc="0" locked="0" layoutInCell="1" allowOverlap="1">
            <wp:simplePos x="0" y="0"/>
            <wp:positionH relativeFrom="column">
              <wp:posOffset>-635</wp:posOffset>
            </wp:positionH>
            <wp:positionV relativeFrom="paragraph">
              <wp:posOffset>78105</wp:posOffset>
            </wp:positionV>
            <wp:extent cx="731520" cy="508635"/>
            <wp:effectExtent l="19050" t="0" r="0" b="0"/>
            <wp:wrapThrough wrapText="bothSides">
              <wp:wrapPolygon edited="0">
                <wp:start x="-563" y="809"/>
                <wp:lineTo x="-563" y="21034"/>
                <wp:lineTo x="21375" y="21034"/>
                <wp:lineTo x="21375" y="14562"/>
                <wp:lineTo x="20250" y="13753"/>
                <wp:lineTo x="21375" y="11326"/>
                <wp:lineTo x="21375" y="809"/>
                <wp:lineTo x="-563" y="809"/>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31520" cy="508635"/>
                    </a:xfrm>
                    <a:prstGeom prst="rect">
                      <a:avLst/>
                    </a:prstGeom>
                    <a:noFill/>
                    <a:ln>
                      <a:noFill/>
                    </a:ln>
                  </pic:spPr>
                </pic:pic>
              </a:graphicData>
            </a:graphic>
          </wp:anchor>
        </w:drawing>
      </w:r>
    </w:p>
    <w:p w:rsidR="00C94E57" w:rsidRDefault="00C94E57" w:rsidP="00F912A1">
      <w:pPr>
        <w:ind w:right="522"/>
        <w:rPr>
          <w:sz w:val="20"/>
        </w:rPr>
      </w:pPr>
    </w:p>
    <w:p w:rsidR="00C94E57" w:rsidRDefault="00C94E57" w:rsidP="00F912A1">
      <w:pPr>
        <w:ind w:right="522"/>
        <w:rPr>
          <w:sz w:val="20"/>
        </w:rPr>
      </w:pPr>
    </w:p>
    <w:p w:rsidR="00C94E57" w:rsidRDefault="00C94E57" w:rsidP="00F912A1">
      <w:pPr>
        <w:ind w:right="522"/>
        <w:rPr>
          <w:sz w:val="20"/>
        </w:rPr>
      </w:pPr>
    </w:p>
    <w:p w:rsidR="00F912A1" w:rsidRPr="00AC7173" w:rsidRDefault="00F912A1" w:rsidP="00F912A1">
      <w:pPr>
        <w:ind w:right="522"/>
        <w:rPr>
          <w:sz w:val="20"/>
        </w:rPr>
      </w:pPr>
      <w:r w:rsidRPr="00F87C74">
        <w:rPr>
          <w:sz w:val="20"/>
        </w:rPr>
        <w:t xml:space="preserve">June </w:t>
      </w:r>
      <w:r w:rsidR="00F87C74">
        <w:rPr>
          <w:sz w:val="20"/>
        </w:rPr>
        <w:t>28</w:t>
      </w:r>
      <w:r w:rsidRPr="00F87C74">
        <w:rPr>
          <w:sz w:val="20"/>
        </w:rPr>
        <w:t>, 2016</w:t>
      </w:r>
      <w:r w:rsidRPr="00AC7173">
        <w:rPr>
          <w:sz w:val="20"/>
        </w:rPr>
        <w:tab/>
      </w:r>
      <w:r w:rsidRPr="00AC7173">
        <w:rPr>
          <w:sz w:val="20"/>
        </w:rPr>
        <w:tab/>
      </w:r>
      <w:r w:rsidRPr="00AC7173">
        <w:rPr>
          <w:sz w:val="20"/>
        </w:rPr>
        <w:tab/>
      </w:r>
      <w:r w:rsidRPr="00AC7173">
        <w:rPr>
          <w:sz w:val="20"/>
        </w:rPr>
        <w:tab/>
      </w:r>
      <w:r w:rsidRPr="00AC7173">
        <w:rPr>
          <w:sz w:val="20"/>
        </w:rPr>
        <w:tab/>
      </w:r>
    </w:p>
    <w:p w:rsidR="00C94E57" w:rsidRDefault="00F912A1" w:rsidP="00F912A1">
      <w:pPr>
        <w:ind w:right="522"/>
        <w:rPr>
          <w:sz w:val="20"/>
        </w:rPr>
      </w:pPr>
      <w:r>
        <w:rPr>
          <w:sz w:val="20"/>
        </w:rPr>
        <w:t>For Immediate Release</w:t>
      </w:r>
    </w:p>
    <w:p w:rsidR="00C94E57" w:rsidRDefault="00C94E57" w:rsidP="00F912A1">
      <w:pPr>
        <w:ind w:right="522"/>
        <w:rPr>
          <w:sz w:val="20"/>
        </w:rPr>
      </w:pPr>
      <w:r w:rsidRPr="00AC7173">
        <w:rPr>
          <w:sz w:val="20"/>
        </w:rPr>
        <w:t>Media Contacts:</w:t>
      </w:r>
      <w:r w:rsidR="00F912A1">
        <w:rPr>
          <w:sz w:val="20"/>
        </w:rPr>
        <w:tab/>
      </w:r>
      <w:r w:rsidR="00F912A1">
        <w:rPr>
          <w:sz w:val="20"/>
        </w:rPr>
        <w:tab/>
      </w:r>
      <w:r w:rsidR="00F912A1">
        <w:rPr>
          <w:sz w:val="20"/>
        </w:rPr>
        <w:tab/>
      </w:r>
      <w:r w:rsidR="00F912A1">
        <w:rPr>
          <w:sz w:val="20"/>
        </w:rPr>
        <w:tab/>
      </w:r>
    </w:p>
    <w:p w:rsidR="00C94E57" w:rsidRDefault="00F912A1" w:rsidP="00F912A1">
      <w:pPr>
        <w:ind w:right="522"/>
        <w:rPr>
          <w:sz w:val="20"/>
        </w:rPr>
      </w:pPr>
      <w:r>
        <w:rPr>
          <w:sz w:val="20"/>
        </w:rPr>
        <w:t>Jessie Gibbons:</w:t>
      </w:r>
      <w:r w:rsidRPr="00AC7173">
        <w:rPr>
          <w:sz w:val="20"/>
        </w:rPr>
        <w:t xml:space="preserve"> 1-800-333-TSCL (8725)</w:t>
      </w:r>
      <w:r>
        <w:rPr>
          <w:sz w:val="20"/>
        </w:rPr>
        <w:tab/>
      </w:r>
      <w:r>
        <w:rPr>
          <w:sz w:val="20"/>
        </w:rPr>
        <w:tab/>
      </w:r>
      <w:r>
        <w:rPr>
          <w:sz w:val="20"/>
        </w:rPr>
        <w:tab/>
      </w:r>
      <w:r>
        <w:rPr>
          <w:sz w:val="20"/>
        </w:rPr>
        <w:tab/>
      </w:r>
    </w:p>
    <w:p w:rsidR="00F912A1" w:rsidRPr="00AC7173" w:rsidRDefault="002B4046" w:rsidP="00F912A1">
      <w:pPr>
        <w:ind w:right="522"/>
        <w:rPr>
          <w:sz w:val="20"/>
        </w:rPr>
      </w:pPr>
      <w:hyperlink r:id="rId8" w:history="1">
        <w:r w:rsidR="00F912A1">
          <w:rPr>
            <w:sz w:val="20"/>
          </w:rPr>
          <w:t>jgibbons</w:t>
        </w:r>
        <w:r w:rsidR="00F912A1" w:rsidRPr="00AC7173">
          <w:rPr>
            <w:sz w:val="20"/>
          </w:rPr>
          <w:t>@tsclhq.org</w:t>
        </w:r>
      </w:hyperlink>
      <w:r w:rsidR="00F912A1" w:rsidRPr="00AC7173">
        <w:rPr>
          <w:sz w:val="20"/>
        </w:rPr>
        <w:t xml:space="preserve">  </w:t>
      </w:r>
    </w:p>
    <w:p w:rsidR="00C94E57" w:rsidRDefault="00F912A1" w:rsidP="00F912A1">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F912A1" w:rsidRPr="00AC7173" w:rsidRDefault="00F912A1" w:rsidP="00F912A1">
      <w:pPr>
        <w:ind w:right="522"/>
        <w:rPr>
          <w:sz w:val="20"/>
        </w:rPr>
      </w:pPr>
      <w:r>
        <w:rPr>
          <w:sz w:val="20"/>
        </w:rPr>
        <w:t>Mary Johnson:</w:t>
      </w:r>
      <w:r w:rsidRPr="00AC7173">
        <w:rPr>
          <w:sz w:val="20"/>
        </w:rPr>
        <w:t xml:space="preserve"> (540) 832-5513</w:t>
      </w:r>
    </w:p>
    <w:p w:rsidR="00370788" w:rsidRDefault="00F912A1" w:rsidP="00C94E57">
      <w:pPr>
        <w:pStyle w:val="Footer"/>
        <w:tabs>
          <w:tab w:val="clear" w:pos="4320"/>
          <w:tab w:val="clear" w:pos="8640"/>
        </w:tabs>
        <w:ind w:right="522"/>
        <w:rPr>
          <w:sz w:val="20"/>
        </w:rPr>
      </w:pPr>
      <w:r w:rsidRPr="00AC7173">
        <w:rPr>
          <w:sz w:val="20"/>
        </w:rPr>
        <w:t>newslettersdirect@hughes.net</w:t>
      </w:r>
      <w:r w:rsidRPr="00AC7173">
        <w:rPr>
          <w:sz w:val="20"/>
        </w:rPr>
        <w:tab/>
      </w:r>
    </w:p>
    <w:p w:rsidR="00C94E57" w:rsidRDefault="00C94E57" w:rsidP="00C94E57">
      <w:pPr>
        <w:pStyle w:val="Footer"/>
        <w:tabs>
          <w:tab w:val="clear" w:pos="4320"/>
          <w:tab w:val="clear" w:pos="8640"/>
        </w:tabs>
        <w:ind w:right="522"/>
        <w:rPr>
          <w:b/>
          <w:sz w:val="28"/>
          <w:szCs w:val="28"/>
        </w:rPr>
      </w:pPr>
    </w:p>
    <w:p w:rsidR="008F4A87" w:rsidRDefault="00E24A43" w:rsidP="00F912A1">
      <w:pPr>
        <w:jc w:val="center"/>
        <w:rPr>
          <w:b/>
          <w:sz w:val="28"/>
          <w:szCs w:val="28"/>
        </w:rPr>
      </w:pPr>
      <w:r w:rsidRPr="0046799A">
        <w:rPr>
          <w:b/>
          <w:sz w:val="28"/>
          <w:szCs w:val="28"/>
        </w:rPr>
        <w:t>Senate Health Bill</w:t>
      </w:r>
      <w:r w:rsidR="00542625" w:rsidRPr="0046799A">
        <w:rPr>
          <w:b/>
          <w:sz w:val="28"/>
          <w:szCs w:val="28"/>
        </w:rPr>
        <w:t xml:space="preserve"> Buries</w:t>
      </w:r>
      <w:r w:rsidR="00370788">
        <w:rPr>
          <w:b/>
          <w:sz w:val="28"/>
          <w:szCs w:val="28"/>
        </w:rPr>
        <w:t xml:space="preserve"> </w:t>
      </w:r>
      <w:proofErr w:type="gramStart"/>
      <w:r w:rsidR="00370788">
        <w:rPr>
          <w:b/>
          <w:sz w:val="28"/>
          <w:szCs w:val="28"/>
        </w:rPr>
        <w:t>The</w:t>
      </w:r>
      <w:proofErr w:type="gramEnd"/>
      <w:r w:rsidR="00542625" w:rsidRPr="0046799A">
        <w:rPr>
          <w:b/>
          <w:sz w:val="28"/>
          <w:szCs w:val="28"/>
        </w:rPr>
        <w:t xml:space="preserve"> Biggest Medicaid Cuts </w:t>
      </w:r>
    </w:p>
    <w:p w:rsidR="00F912A1" w:rsidRPr="0046799A" w:rsidRDefault="0046799A" w:rsidP="00F912A1">
      <w:pPr>
        <w:jc w:val="center"/>
        <w:rPr>
          <w:b/>
          <w:sz w:val="28"/>
          <w:szCs w:val="28"/>
        </w:rPr>
      </w:pPr>
      <w:r>
        <w:rPr>
          <w:b/>
          <w:sz w:val="28"/>
          <w:szCs w:val="28"/>
        </w:rPr>
        <w:t>Us</w:t>
      </w:r>
      <w:r w:rsidRPr="0046799A">
        <w:rPr>
          <w:b/>
          <w:sz w:val="28"/>
          <w:szCs w:val="28"/>
        </w:rPr>
        <w:t>ing</w:t>
      </w:r>
      <w:r w:rsidR="00542625" w:rsidRPr="0046799A">
        <w:rPr>
          <w:b/>
          <w:sz w:val="28"/>
          <w:szCs w:val="28"/>
        </w:rPr>
        <w:t xml:space="preserve"> </w:t>
      </w:r>
      <w:proofErr w:type="gramStart"/>
      <w:r w:rsidR="008F4A87">
        <w:rPr>
          <w:b/>
          <w:sz w:val="28"/>
          <w:szCs w:val="28"/>
        </w:rPr>
        <w:t>An</w:t>
      </w:r>
      <w:proofErr w:type="gramEnd"/>
      <w:r w:rsidR="005544E4">
        <w:rPr>
          <w:b/>
          <w:sz w:val="28"/>
          <w:szCs w:val="28"/>
        </w:rPr>
        <w:t xml:space="preserve"> Insufficient</w:t>
      </w:r>
      <w:r w:rsidR="008F4A87">
        <w:rPr>
          <w:b/>
          <w:sz w:val="28"/>
          <w:szCs w:val="28"/>
        </w:rPr>
        <w:t xml:space="preserve"> </w:t>
      </w:r>
      <w:r w:rsidR="00542625" w:rsidRPr="0046799A">
        <w:rPr>
          <w:b/>
          <w:sz w:val="28"/>
          <w:szCs w:val="28"/>
        </w:rPr>
        <w:t>Inflation</w:t>
      </w:r>
      <w:r w:rsidR="00E24A43" w:rsidRPr="0046799A">
        <w:rPr>
          <w:b/>
          <w:sz w:val="28"/>
          <w:szCs w:val="28"/>
        </w:rPr>
        <w:t xml:space="preserve"> Adjustment </w:t>
      </w:r>
    </w:p>
    <w:p w:rsidR="00F912A1" w:rsidRPr="0046799A" w:rsidRDefault="00F87C74" w:rsidP="00F912A1">
      <w:pPr>
        <w:jc w:val="center"/>
        <w:rPr>
          <w:i/>
          <w:sz w:val="28"/>
          <w:szCs w:val="28"/>
        </w:rPr>
      </w:pPr>
      <w:r w:rsidRPr="0046799A">
        <w:rPr>
          <w:i/>
          <w:sz w:val="28"/>
          <w:szCs w:val="28"/>
        </w:rPr>
        <w:t>New Analysis</w:t>
      </w:r>
      <w:r w:rsidR="00F912A1" w:rsidRPr="0046799A">
        <w:rPr>
          <w:i/>
          <w:sz w:val="28"/>
          <w:szCs w:val="28"/>
        </w:rPr>
        <w:t xml:space="preserve"> </w:t>
      </w:r>
      <w:proofErr w:type="gramStart"/>
      <w:r w:rsidR="00F912A1" w:rsidRPr="0046799A">
        <w:rPr>
          <w:i/>
          <w:sz w:val="28"/>
          <w:szCs w:val="28"/>
        </w:rPr>
        <w:t>By</w:t>
      </w:r>
      <w:proofErr w:type="gramEnd"/>
      <w:r w:rsidR="00F912A1" w:rsidRPr="0046799A">
        <w:rPr>
          <w:i/>
          <w:sz w:val="28"/>
          <w:szCs w:val="28"/>
        </w:rPr>
        <w:t xml:space="preserve"> The Senior Citizens League </w:t>
      </w:r>
    </w:p>
    <w:p w:rsidR="00F912A1" w:rsidRPr="00635634" w:rsidRDefault="00F912A1" w:rsidP="00F912A1">
      <w:pPr>
        <w:jc w:val="center"/>
        <w:rPr>
          <w:szCs w:val="24"/>
        </w:rPr>
      </w:pPr>
      <w:r w:rsidRPr="00635634">
        <w:rPr>
          <w:b/>
          <w:szCs w:val="24"/>
        </w:rPr>
        <w:t>________________________________________</w:t>
      </w:r>
      <w:r>
        <w:rPr>
          <w:b/>
          <w:szCs w:val="24"/>
        </w:rPr>
        <w:t>______________________________</w:t>
      </w:r>
    </w:p>
    <w:p w:rsidR="00F912A1" w:rsidRPr="00FA1A79" w:rsidRDefault="00F912A1" w:rsidP="00F912A1">
      <w:pPr>
        <w:rPr>
          <w:b/>
          <w:szCs w:val="24"/>
        </w:rPr>
      </w:pPr>
    </w:p>
    <w:p w:rsidR="007F709C" w:rsidRDefault="00F912A1" w:rsidP="00F87C74">
      <w:pPr>
        <w:rPr>
          <w:szCs w:val="24"/>
        </w:rPr>
      </w:pPr>
      <w:r w:rsidRPr="00FA1A79">
        <w:rPr>
          <w:b/>
          <w:szCs w:val="24"/>
        </w:rPr>
        <w:t xml:space="preserve">(Washington, DC) – </w:t>
      </w:r>
      <w:r w:rsidR="00577B84">
        <w:rPr>
          <w:szCs w:val="24"/>
        </w:rPr>
        <w:t>The Senate’s</w:t>
      </w:r>
      <w:r w:rsidR="007E3F60">
        <w:rPr>
          <w:szCs w:val="24"/>
        </w:rPr>
        <w:t xml:space="preserve"> health care</w:t>
      </w:r>
      <w:r w:rsidR="004914BF">
        <w:rPr>
          <w:szCs w:val="24"/>
        </w:rPr>
        <w:t xml:space="preserve"> repeal and replac</w:t>
      </w:r>
      <w:bookmarkStart w:id="0" w:name="_GoBack"/>
      <w:bookmarkEnd w:id="0"/>
      <w:r w:rsidR="004914BF">
        <w:rPr>
          <w:szCs w:val="24"/>
        </w:rPr>
        <w:t>e</w:t>
      </w:r>
      <w:r w:rsidR="007E3F60">
        <w:rPr>
          <w:szCs w:val="24"/>
        </w:rPr>
        <w:t xml:space="preserve"> bill, </w:t>
      </w:r>
      <w:r w:rsidR="00577B84">
        <w:rPr>
          <w:szCs w:val="24"/>
        </w:rPr>
        <w:t>contains</w:t>
      </w:r>
      <w:r w:rsidR="00BC6B56">
        <w:rPr>
          <w:szCs w:val="24"/>
        </w:rPr>
        <w:t xml:space="preserve"> </w:t>
      </w:r>
      <w:r w:rsidR="007F709C">
        <w:rPr>
          <w:szCs w:val="24"/>
        </w:rPr>
        <w:t>significantly deeper Medicaid cut</w:t>
      </w:r>
      <w:r w:rsidR="00542625">
        <w:rPr>
          <w:szCs w:val="24"/>
        </w:rPr>
        <w:t>s</w:t>
      </w:r>
      <w:r w:rsidR="00E24A43">
        <w:rPr>
          <w:szCs w:val="24"/>
        </w:rPr>
        <w:t xml:space="preserve"> than</w:t>
      </w:r>
      <w:r w:rsidR="007F709C">
        <w:rPr>
          <w:szCs w:val="24"/>
        </w:rPr>
        <w:t xml:space="preserve"> </w:t>
      </w:r>
      <w:r w:rsidR="00A65D6D">
        <w:rPr>
          <w:szCs w:val="24"/>
        </w:rPr>
        <w:t>those</w:t>
      </w:r>
      <w:r w:rsidR="007F709C">
        <w:rPr>
          <w:szCs w:val="24"/>
        </w:rPr>
        <w:t xml:space="preserve"> in</w:t>
      </w:r>
      <w:r w:rsidR="00E24A43">
        <w:rPr>
          <w:szCs w:val="24"/>
        </w:rPr>
        <w:t xml:space="preserve"> the</w:t>
      </w:r>
      <w:r w:rsidR="00577B84">
        <w:rPr>
          <w:szCs w:val="24"/>
        </w:rPr>
        <w:t xml:space="preserve"> </w:t>
      </w:r>
      <w:r w:rsidR="00542625">
        <w:rPr>
          <w:szCs w:val="24"/>
        </w:rPr>
        <w:t>House bill</w:t>
      </w:r>
      <w:r w:rsidR="00E24A43">
        <w:rPr>
          <w:szCs w:val="24"/>
        </w:rPr>
        <w:t xml:space="preserve">, according to a new analysis by The Senior Citizens League (TSCL).  </w:t>
      </w:r>
      <w:r w:rsidR="007F709C">
        <w:rPr>
          <w:szCs w:val="24"/>
        </w:rPr>
        <w:t>“</w:t>
      </w:r>
      <w:r w:rsidR="00542625">
        <w:rPr>
          <w:szCs w:val="24"/>
        </w:rPr>
        <w:t>Writers</w:t>
      </w:r>
      <w:r w:rsidR="007F709C">
        <w:rPr>
          <w:szCs w:val="24"/>
        </w:rPr>
        <w:t xml:space="preserve"> of the legislation have crafted </w:t>
      </w:r>
      <w:r w:rsidR="0064743C">
        <w:rPr>
          <w:szCs w:val="24"/>
        </w:rPr>
        <w:t>a</w:t>
      </w:r>
      <w:r w:rsidR="007F709C">
        <w:rPr>
          <w:szCs w:val="24"/>
        </w:rPr>
        <w:t xml:space="preserve"> bill </w:t>
      </w:r>
      <w:r w:rsidR="008309FD">
        <w:rPr>
          <w:szCs w:val="24"/>
        </w:rPr>
        <w:t>that</w:t>
      </w:r>
      <w:r w:rsidR="007F709C">
        <w:rPr>
          <w:szCs w:val="24"/>
        </w:rPr>
        <w:t xml:space="preserve"> </w:t>
      </w:r>
      <w:r w:rsidR="00542625">
        <w:rPr>
          <w:szCs w:val="24"/>
        </w:rPr>
        <w:t>hide</w:t>
      </w:r>
      <w:r w:rsidR="008309FD">
        <w:rPr>
          <w:szCs w:val="24"/>
        </w:rPr>
        <w:t>s</w:t>
      </w:r>
      <w:r w:rsidR="00BC6B56">
        <w:rPr>
          <w:szCs w:val="24"/>
        </w:rPr>
        <w:t xml:space="preserve"> the full</w:t>
      </w:r>
      <w:r w:rsidR="00D36531">
        <w:rPr>
          <w:szCs w:val="24"/>
        </w:rPr>
        <w:t>est</w:t>
      </w:r>
      <w:r w:rsidR="00577B84">
        <w:rPr>
          <w:szCs w:val="24"/>
        </w:rPr>
        <w:t xml:space="preserve"> impact</w:t>
      </w:r>
      <w:r w:rsidR="008309FD">
        <w:rPr>
          <w:szCs w:val="24"/>
        </w:rPr>
        <w:t xml:space="preserve"> of deep cuts</w:t>
      </w:r>
      <w:r w:rsidR="007F709C">
        <w:rPr>
          <w:szCs w:val="24"/>
        </w:rPr>
        <w:t xml:space="preserve"> </w:t>
      </w:r>
      <w:r w:rsidR="0046799A">
        <w:rPr>
          <w:szCs w:val="24"/>
        </w:rPr>
        <w:t>affecting</w:t>
      </w:r>
      <w:r w:rsidR="007F709C">
        <w:rPr>
          <w:szCs w:val="24"/>
        </w:rPr>
        <w:t xml:space="preserve"> low-income families, </w:t>
      </w:r>
      <w:r w:rsidR="00A27D4A">
        <w:rPr>
          <w:szCs w:val="24"/>
        </w:rPr>
        <w:t>older</w:t>
      </w:r>
      <w:r w:rsidR="007F709C">
        <w:rPr>
          <w:szCs w:val="24"/>
        </w:rPr>
        <w:t xml:space="preserve"> and disabled Americans,” says TSCL policy analyst Mary Johnson.  </w:t>
      </w:r>
    </w:p>
    <w:p w:rsidR="00542625" w:rsidRDefault="00A65D6D" w:rsidP="00F87C74">
      <w:pPr>
        <w:rPr>
          <w:szCs w:val="24"/>
        </w:rPr>
      </w:pPr>
      <w:r>
        <w:rPr>
          <w:szCs w:val="24"/>
        </w:rPr>
        <w:tab/>
        <w:t xml:space="preserve">Both the House and </w:t>
      </w:r>
      <w:r w:rsidR="00826533">
        <w:rPr>
          <w:szCs w:val="24"/>
        </w:rPr>
        <w:t>Senate GOP health bill</w:t>
      </w:r>
      <w:r>
        <w:rPr>
          <w:szCs w:val="24"/>
        </w:rPr>
        <w:t>s go</w:t>
      </w:r>
      <w:r w:rsidR="00826533">
        <w:rPr>
          <w:szCs w:val="24"/>
        </w:rPr>
        <w:t xml:space="preserve"> beyond repealing the Medicaid expansion under the Affordable Care Act, </w:t>
      </w:r>
      <w:r w:rsidR="00D36531">
        <w:rPr>
          <w:szCs w:val="24"/>
        </w:rPr>
        <w:t>by</w:t>
      </w:r>
      <w:r w:rsidR="008309FD">
        <w:rPr>
          <w:szCs w:val="24"/>
        </w:rPr>
        <w:t xml:space="preserve"> end</w:t>
      </w:r>
      <w:r w:rsidR="00D36531">
        <w:rPr>
          <w:szCs w:val="24"/>
        </w:rPr>
        <w:t>ing</w:t>
      </w:r>
      <w:r w:rsidR="00826533">
        <w:rPr>
          <w:szCs w:val="24"/>
        </w:rPr>
        <w:t xml:space="preserve"> the current </w:t>
      </w:r>
      <w:r>
        <w:rPr>
          <w:szCs w:val="24"/>
        </w:rPr>
        <w:t>Medicaid reimbursement s</w:t>
      </w:r>
      <w:r w:rsidR="00826533">
        <w:rPr>
          <w:szCs w:val="24"/>
        </w:rPr>
        <w:t>ystem</w:t>
      </w:r>
      <w:r w:rsidR="004A1ABF">
        <w:rPr>
          <w:szCs w:val="24"/>
        </w:rPr>
        <w:t xml:space="preserve">. </w:t>
      </w:r>
      <w:r w:rsidR="00826533">
        <w:rPr>
          <w:szCs w:val="24"/>
        </w:rPr>
        <w:t xml:space="preserve"> </w:t>
      </w:r>
      <w:r w:rsidR="004A1ABF">
        <w:rPr>
          <w:szCs w:val="24"/>
        </w:rPr>
        <w:t>Since</w:t>
      </w:r>
      <w:r w:rsidR="0039717C">
        <w:rPr>
          <w:szCs w:val="24"/>
        </w:rPr>
        <w:t xml:space="preserve"> Medicaid’s</w:t>
      </w:r>
      <w:r w:rsidR="004A1ABF">
        <w:rPr>
          <w:szCs w:val="24"/>
        </w:rPr>
        <w:t xml:space="preserve"> </w:t>
      </w:r>
      <w:r w:rsidR="00787B63">
        <w:rPr>
          <w:szCs w:val="24"/>
        </w:rPr>
        <w:t>inception</w:t>
      </w:r>
      <w:r w:rsidR="0039717C">
        <w:rPr>
          <w:szCs w:val="24"/>
        </w:rPr>
        <w:t>,</w:t>
      </w:r>
      <w:r w:rsidR="004A1ABF">
        <w:rPr>
          <w:szCs w:val="24"/>
        </w:rPr>
        <w:t xml:space="preserve"> </w:t>
      </w:r>
      <w:r w:rsidR="003844DF">
        <w:rPr>
          <w:szCs w:val="24"/>
        </w:rPr>
        <w:t>the</w:t>
      </w:r>
      <w:r w:rsidR="00826533">
        <w:rPr>
          <w:szCs w:val="24"/>
        </w:rPr>
        <w:t xml:space="preserve"> federal government </w:t>
      </w:r>
      <w:r w:rsidR="0039717C">
        <w:rPr>
          <w:szCs w:val="24"/>
        </w:rPr>
        <w:t xml:space="preserve">has matched </w:t>
      </w:r>
      <w:r w:rsidR="00826533">
        <w:rPr>
          <w:szCs w:val="24"/>
        </w:rPr>
        <w:t xml:space="preserve">state </w:t>
      </w:r>
      <w:r w:rsidR="00787B63">
        <w:rPr>
          <w:szCs w:val="24"/>
        </w:rPr>
        <w:t>Medicaid</w:t>
      </w:r>
      <w:r>
        <w:rPr>
          <w:szCs w:val="24"/>
        </w:rPr>
        <w:t xml:space="preserve"> </w:t>
      </w:r>
      <w:r w:rsidR="00826533">
        <w:rPr>
          <w:szCs w:val="24"/>
        </w:rPr>
        <w:t>expen</w:t>
      </w:r>
      <w:r w:rsidR="003844DF">
        <w:rPr>
          <w:szCs w:val="24"/>
        </w:rPr>
        <w:t>ditures for people whose income is low enough to qualify.</w:t>
      </w:r>
      <w:r w:rsidR="008309FD">
        <w:rPr>
          <w:szCs w:val="24"/>
        </w:rPr>
        <w:t xml:space="preserve">  </w:t>
      </w:r>
      <w:r w:rsidR="00787B63">
        <w:rPr>
          <w:szCs w:val="24"/>
        </w:rPr>
        <w:t xml:space="preserve">Under the Senate and House </w:t>
      </w:r>
      <w:r w:rsidR="0039717C">
        <w:rPr>
          <w:szCs w:val="24"/>
        </w:rPr>
        <w:t xml:space="preserve">health reform bills, </w:t>
      </w:r>
      <w:r w:rsidR="00787B63">
        <w:rPr>
          <w:szCs w:val="24"/>
        </w:rPr>
        <w:t xml:space="preserve">the federal government would use </w:t>
      </w:r>
      <w:r w:rsidR="00826533">
        <w:rPr>
          <w:szCs w:val="24"/>
        </w:rPr>
        <w:t>a new formula to determine a payment for each person in the program.  The payments would grow by a fixed amount thereafter</w:t>
      </w:r>
      <w:r w:rsidR="00E6392E">
        <w:rPr>
          <w:szCs w:val="24"/>
        </w:rPr>
        <w:t xml:space="preserve"> indexed to inflation</w:t>
      </w:r>
      <w:r w:rsidR="00826533">
        <w:rPr>
          <w:szCs w:val="24"/>
        </w:rPr>
        <w:t>, and states would be on the hook for any gap in costs that grow faster than payments.</w:t>
      </w:r>
    </w:p>
    <w:p w:rsidR="004914BF" w:rsidRDefault="00C14A0E" w:rsidP="00F87C74">
      <w:pPr>
        <w:rPr>
          <w:szCs w:val="24"/>
        </w:rPr>
      </w:pPr>
      <w:r>
        <w:rPr>
          <w:szCs w:val="24"/>
        </w:rPr>
        <w:tab/>
        <w:t>“</w:t>
      </w:r>
      <w:r w:rsidR="00A27D4A">
        <w:rPr>
          <w:szCs w:val="24"/>
        </w:rPr>
        <w:t xml:space="preserve">Like </w:t>
      </w:r>
      <w:r w:rsidR="00787B63">
        <w:rPr>
          <w:szCs w:val="24"/>
        </w:rPr>
        <w:t>the Social Security cost-of-living adjustment</w:t>
      </w:r>
      <w:r w:rsidR="00A27D4A">
        <w:rPr>
          <w:szCs w:val="24"/>
        </w:rPr>
        <w:t>, the</w:t>
      </w:r>
      <w:r>
        <w:rPr>
          <w:szCs w:val="24"/>
        </w:rPr>
        <w:t xml:space="preserve"> ability of those </w:t>
      </w:r>
      <w:r w:rsidR="00787B63">
        <w:rPr>
          <w:szCs w:val="24"/>
        </w:rPr>
        <w:t xml:space="preserve">state </w:t>
      </w:r>
      <w:r>
        <w:rPr>
          <w:szCs w:val="24"/>
        </w:rPr>
        <w:t xml:space="preserve">payments to keep up with growing </w:t>
      </w:r>
      <w:r w:rsidR="00645542">
        <w:rPr>
          <w:szCs w:val="24"/>
        </w:rPr>
        <w:t xml:space="preserve">health care </w:t>
      </w:r>
      <w:r>
        <w:rPr>
          <w:szCs w:val="24"/>
        </w:rPr>
        <w:t>costs is crucial,” says Johnson</w:t>
      </w:r>
      <w:r w:rsidR="0064743C">
        <w:rPr>
          <w:szCs w:val="24"/>
        </w:rPr>
        <w:t>,</w:t>
      </w:r>
      <w:r w:rsidR="003844DF">
        <w:rPr>
          <w:szCs w:val="24"/>
        </w:rPr>
        <w:t xml:space="preserve"> who studies the gap between </w:t>
      </w:r>
      <w:r w:rsidR="00645542">
        <w:rPr>
          <w:szCs w:val="24"/>
        </w:rPr>
        <w:t>inflation and health care costs</w:t>
      </w:r>
      <w:r>
        <w:rPr>
          <w:szCs w:val="24"/>
        </w:rPr>
        <w:t xml:space="preserve">. </w:t>
      </w:r>
      <w:r w:rsidR="003844DF">
        <w:rPr>
          <w:szCs w:val="24"/>
        </w:rPr>
        <w:t xml:space="preserve"> If </w:t>
      </w:r>
      <w:r w:rsidR="00A27D4A">
        <w:rPr>
          <w:szCs w:val="24"/>
        </w:rPr>
        <w:t>the</w:t>
      </w:r>
      <w:r w:rsidR="00E6392E">
        <w:rPr>
          <w:szCs w:val="24"/>
        </w:rPr>
        <w:t xml:space="preserve"> inflation index doesn’t, payments will be less and less</w:t>
      </w:r>
      <w:r w:rsidR="004914BF">
        <w:rPr>
          <w:szCs w:val="24"/>
        </w:rPr>
        <w:t xml:space="preserve"> sufficient to cover costs</w:t>
      </w:r>
      <w:r w:rsidR="00E6392E">
        <w:rPr>
          <w:szCs w:val="24"/>
        </w:rPr>
        <w:t xml:space="preserve">.  </w:t>
      </w:r>
      <w:r w:rsidR="00A27D4A">
        <w:rPr>
          <w:szCs w:val="24"/>
        </w:rPr>
        <w:t xml:space="preserve"> </w:t>
      </w:r>
      <w:r w:rsidR="00E6392E">
        <w:rPr>
          <w:szCs w:val="24"/>
        </w:rPr>
        <w:t>Growing</w:t>
      </w:r>
      <w:r w:rsidR="003844DF">
        <w:rPr>
          <w:szCs w:val="24"/>
        </w:rPr>
        <w:t xml:space="preserve"> gaps between costs and reimbursements</w:t>
      </w:r>
      <w:r w:rsidR="00E6392E">
        <w:rPr>
          <w:szCs w:val="24"/>
        </w:rPr>
        <w:t xml:space="preserve"> would force</w:t>
      </w:r>
      <w:r w:rsidR="003844DF">
        <w:rPr>
          <w:szCs w:val="24"/>
        </w:rPr>
        <w:t xml:space="preserve"> states to choose between cutting benefits</w:t>
      </w:r>
      <w:r w:rsidR="006347A7">
        <w:rPr>
          <w:szCs w:val="24"/>
        </w:rPr>
        <w:t xml:space="preserve">, </w:t>
      </w:r>
      <w:r w:rsidR="00353435">
        <w:rPr>
          <w:szCs w:val="24"/>
        </w:rPr>
        <w:t>increasing</w:t>
      </w:r>
      <w:r w:rsidR="003844DF">
        <w:rPr>
          <w:szCs w:val="24"/>
        </w:rPr>
        <w:t xml:space="preserve"> state taxes,</w:t>
      </w:r>
      <w:r w:rsidR="006347A7">
        <w:rPr>
          <w:szCs w:val="24"/>
        </w:rPr>
        <w:t xml:space="preserve"> </w:t>
      </w:r>
      <w:r w:rsidR="00645542">
        <w:rPr>
          <w:szCs w:val="24"/>
        </w:rPr>
        <w:t>and</w:t>
      </w:r>
      <w:r w:rsidR="006347A7">
        <w:rPr>
          <w:szCs w:val="24"/>
        </w:rPr>
        <w:t xml:space="preserve"> restricting eligibility for benefits.  </w:t>
      </w:r>
    </w:p>
    <w:p w:rsidR="003844DF" w:rsidRDefault="004914BF" w:rsidP="00F87C74">
      <w:pPr>
        <w:rPr>
          <w:szCs w:val="24"/>
        </w:rPr>
      </w:pPr>
      <w:r>
        <w:rPr>
          <w:szCs w:val="24"/>
        </w:rPr>
        <w:tab/>
      </w:r>
      <w:r w:rsidR="006347A7">
        <w:rPr>
          <w:szCs w:val="24"/>
        </w:rPr>
        <w:t>“This could be particularly problematic for older</w:t>
      </w:r>
      <w:r w:rsidR="00E6392E">
        <w:rPr>
          <w:szCs w:val="24"/>
        </w:rPr>
        <w:t xml:space="preserve"> and disabled</w:t>
      </w:r>
      <w:r w:rsidR="00A27D4A">
        <w:rPr>
          <w:szCs w:val="24"/>
        </w:rPr>
        <w:t>,</w:t>
      </w:r>
      <w:r w:rsidR="006347A7">
        <w:rPr>
          <w:szCs w:val="24"/>
        </w:rPr>
        <w:t xml:space="preserve"> low </w:t>
      </w:r>
      <w:r w:rsidR="00A27D4A">
        <w:rPr>
          <w:szCs w:val="24"/>
        </w:rPr>
        <w:t xml:space="preserve">- </w:t>
      </w:r>
      <w:r w:rsidR="006347A7">
        <w:rPr>
          <w:szCs w:val="24"/>
        </w:rPr>
        <w:t>income Americans</w:t>
      </w:r>
      <w:r w:rsidR="00A27D4A">
        <w:rPr>
          <w:szCs w:val="24"/>
        </w:rPr>
        <w:t xml:space="preserve"> who represent a disproportionate share of Medicaid spending,” Johnson notes</w:t>
      </w:r>
      <w:r w:rsidR="006347A7">
        <w:rPr>
          <w:szCs w:val="24"/>
        </w:rPr>
        <w:t xml:space="preserve">.  About </w:t>
      </w:r>
      <w:r w:rsidR="00353435">
        <w:rPr>
          <w:szCs w:val="24"/>
        </w:rPr>
        <w:t>11 million</w:t>
      </w:r>
      <w:r w:rsidR="006347A7">
        <w:rPr>
          <w:szCs w:val="24"/>
        </w:rPr>
        <w:t xml:space="preserve"> older Americans</w:t>
      </w:r>
      <w:r w:rsidR="00D36531">
        <w:rPr>
          <w:szCs w:val="24"/>
        </w:rPr>
        <w:t xml:space="preserve"> and people with disabilities</w:t>
      </w:r>
      <w:r w:rsidR="00A27D4A">
        <w:rPr>
          <w:szCs w:val="24"/>
        </w:rPr>
        <w:t xml:space="preserve"> have incomes low enough to receive </w:t>
      </w:r>
      <w:r w:rsidR="00353435">
        <w:rPr>
          <w:szCs w:val="24"/>
        </w:rPr>
        <w:t xml:space="preserve">help from </w:t>
      </w:r>
      <w:r w:rsidR="006347A7">
        <w:rPr>
          <w:szCs w:val="24"/>
        </w:rPr>
        <w:t>Medicaid</w:t>
      </w:r>
      <w:r w:rsidR="00D36531">
        <w:rPr>
          <w:szCs w:val="24"/>
        </w:rPr>
        <w:t xml:space="preserve">. </w:t>
      </w:r>
      <w:r w:rsidR="00A27D4A">
        <w:rPr>
          <w:szCs w:val="24"/>
        </w:rPr>
        <w:t xml:space="preserve"> </w:t>
      </w:r>
      <w:r w:rsidR="00353435">
        <w:rPr>
          <w:szCs w:val="24"/>
        </w:rPr>
        <w:t>Medicaid pays Medicare premiums or premium</w:t>
      </w:r>
      <w:r w:rsidR="00F04A7A">
        <w:rPr>
          <w:szCs w:val="24"/>
        </w:rPr>
        <w:t>s and cost -sharing for those who qualify</w:t>
      </w:r>
      <w:r w:rsidR="00353435">
        <w:rPr>
          <w:szCs w:val="24"/>
        </w:rPr>
        <w:t>.</w:t>
      </w:r>
      <w:r w:rsidR="006347A7">
        <w:rPr>
          <w:szCs w:val="24"/>
        </w:rPr>
        <w:t xml:space="preserve">  Sixty-four percent of all nursing home patients receive their coverage through Medicaid.</w:t>
      </w:r>
    </w:p>
    <w:p w:rsidR="00F912A1" w:rsidRPr="008309FD" w:rsidRDefault="006347A7" w:rsidP="00F87C74">
      <w:pPr>
        <w:rPr>
          <w:szCs w:val="24"/>
        </w:rPr>
      </w:pPr>
      <w:r>
        <w:rPr>
          <w:szCs w:val="24"/>
        </w:rPr>
        <w:tab/>
      </w:r>
      <w:r w:rsidR="00A27D4A">
        <w:rPr>
          <w:szCs w:val="24"/>
        </w:rPr>
        <w:t>The</w:t>
      </w:r>
      <w:r w:rsidR="00C14A0E">
        <w:rPr>
          <w:szCs w:val="24"/>
        </w:rPr>
        <w:t xml:space="preserve"> Senate bill stipulates an inflation adjustment measure that is growing at less than half the rate of the inflation measure stipulated in the H</w:t>
      </w:r>
      <w:r w:rsidR="008309FD">
        <w:rPr>
          <w:szCs w:val="24"/>
        </w:rPr>
        <w:t>ouse bill,” Johnson explains.  “</w:t>
      </w:r>
      <w:r>
        <w:rPr>
          <w:szCs w:val="24"/>
        </w:rPr>
        <w:t>Yet</w:t>
      </w:r>
      <w:r w:rsidR="00645542">
        <w:rPr>
          <w:szCs w:val="24"/>
        </w:rPr>
        <w:t xml:space="preserve"> real health care costs, </w:t>
      </w:r>
      <w:r w:rsidR="00F04A7A">
        <w:rPr>
          <w:szCs w:val="24"/>
        </w:rPr>
        <w:t>particularly for older Americans</w:t>
      </w:r>
      <w:r w:rsidR="0064743C">
        <w:rPr>
          <w:szCs w:val="24"/>
        </w:rPr>
        <w:t>,</w:t>
      </w:r>
      <w:r w:rsidR="00F04A7A">
        <w:rPr>
          <w:szCs w:val="24"/>
        </w:rPr>
        <w:t xml:space="preserve"> are</w:t>
      </w:r>
      <w:r w:rsidR="00645542">
        <w:rPr>
          <w:szCs w:val="24"/>
        </w:rPr>
        <w:t xml:space="preserve"> growing</w:t>
      </w:r>
      <w:r w:rsidR="008309FD">
        <w:rPr>
          <w:szCs w:val="24"/>
        </w:rPr>
        <w:t xml:space="preserve"> several times faster than either measure,” </w:t>
      </w:r>
      <w:r w:rsidR="00A27D4A">
        <w:rPr>
          <w:szCs w:val="24"/>
        </w:rPr>
        <w:t xml:space="preserve">she </w:t>
      </w:r>
      <w:r w:rsidR="008309FD">
        <w:rPr>
          <w:szCs w:val="24"/>
        </w:rPr>
        <w:t>says</w:t>
      </w:r>
      <w:r w:rsidR="00A65D6D">
        <w:rPr>
          <w:szCs w:val="24"/>
        </w:rPr>
        <w:t>.</w:t>
      </w:r>
      <w:r w:rsidR="00A27D4A">
        <w:rPr>
          <w:szCs w:val="24"/>
        </w:rPr>
        <w:t xml:space="preserve">  </w:t>
      </w:r>
      <w:r w:rsidR="00A65D6D">
        <w:rPr>
          <w:szCs w:val="24"/>
        </w:rPr>
        <w:t>“</w:t>
      </w:r>
      <w:r w:rsidR="00645542">
        <w:rPr>
          <w:szCs w:val="24"/>
        </w:rPr>
        <w:t>Because</w:t>
      </w:r>
      <w:r w:rsidR="008309FD">
        <w:rPr>
          <w:szCs w:val="24"/>
        </w:rPr>
        <w:t xml:space="preserve"> </w:t>
      </w:r>
      <w:r w:rsidR="00C03464">
        <w:rPr>
          <w:szCs w:val="24"/>
        </w:rPr>
        <w:t xml:space="preserve">the change would not start until 2025, </w:t>
      </w:r>
      <w:r w:rsidR="008309FD">
        <w:rPr>
          <w:szCs w:val="24"/>
        </w:rPr>
        <w:t xml:space="preserve">we </w:t>
      </w:r>
      <w:r w:rsidR="0064743C">
        <w:rPr>
          <w:szCs w:val="24"/>
        </w:rPr>
        <w:t>would not</w:t>
      </w:r>
      <w:r w:rsidR="008309FD">
        <w:rPr>
          <w:szCs w:val="24"/>
        </w:rPr>
        <w:t xml:space="preserve"> be getting complete information about the scope and depth of Medicaid cuts</w:t>
      </w:r>
      <w:r w:rsidR="00A65D6D">
        <w:rPr>
          <w:szCs w:val="24"/>
        </w:rPr>
        <w:t xml:space="preserve"> </w:t>
      </w:r>
      <w:r w:rsidR="00A65D6D">
        <w:rPr>
          <w:szCs w:val="24"/>
        </w:rPr>
        <w:lastRenderedPageBreak/>
        <w:t>because</w:t>
      </w:r>
      <w:r w:rsidR="00987263">
        <w:rPr>
          <w:szCs w:val="24"/>
        </w:rPr>
        <w:t xml:space="preserve"> the effective date of the provision </w:t>
      </w:r>
      <w:r w:rsidR="00A65D6D">
        <w:rPr>
          <w:szCs w:val="24"/>
        </w:rPr>
        <w:t>fall</w:t>
      </w:r>
      <w:r w:rsidR="00987263">
        <w:rPr>
          <w:szCs w:val="24"/>
        </w:rPr>
        <w:t xml:space="preserve">s mostly </w:t>
      </w:r>
      <w:r w:rsidR="00577B84">
        <w:rPr>
          <w:szCs w:val="24"/>
        </w:rPr>
        <w:t xml:space="preserve">outside the </w:t>
      </w:r>
      <w:r w:rsidR="00BC6B56">
        <w:rPr>
          <w:szCs w:val="24"/>
        </w:rPr>
        <w:t xml:space="preserve">ten </w:t>
      </w:r>
      <w:r w:rsidR="00A65D6D">
        <w:rPr>
          <w:szCs w:val="24"/>
        </w:rPr>
        <w:t xml:space="preserve">- </w:t>
      </w:r>
      <w:r w:rsidR="00BC6B56">
        <w:rPr>
          <w:szCs w:val="24"/>
        </w:rPr>
        <w:t xml:space="preserve">year window that the </w:t>
      </w:r>
      <w:r w:rsidR="00577B84">
        <w:rPr>
          <w:szCs w:val="24"/>
        </w:rPr>
        <w:t>Congressional Budget Office</w:t>
      </w:r>
      <w:r w:rsidR="001A1B3B">
        <w:rPr>
          <w:szCs w:val="24"/>
        </w:rPr>
        <w:t xml:space="preserve"> </w:t>
      </w:r>
      <w:r w:rsidR="00484493">
        <w:rPr>
          <w:szCs w:val="24"/>
        </w:rPr>
        <w:t>will most likely use</w:t>
      </w:r>
      <w:r w:rsidR="0064743C">
        <w:rPr>
          <w:szCs w:val="24"/>
        </w:rPr>
        <w:t xml:space="preserve"> to score this bill (2018</w:t>
      </w:r>
      <w:r w:rsidR="001A1B3B">
        <w:rPr>
          <w:szCs w:val="24"/>
        </w:rPr>
        <w:t xml:space="preserve"> – 20</w:t>
      </w:r>
      <w:r w:rsidR="0039717C">
        <w:rPr>
          <w:szCs w:val="24"/>
        </w:rPr>
        <w:t>2</w:t>
      </w:r>
      <w:r w:rsidR="0064743C">
        <w:rPr>
          <w:szCs w:val="24"/>
        </w:rPr>
        <w:t>7</w:t>
      </w:r>
      <w:r w:rsidR="001A1B3B">
        <w:rPr>
          <w:szCs w:val="24"/>
        </w:rPr>
        <w:t>)</w:t>
      </w:r>
      <w:r w:rsidR="0064743C">
        <w:rPr>
          <w:szCs w:val="24"/>
        </w:rPr>
        <w:t>”</w:t>
      </w:r>
      <w:r w:rsidR="008309FD">
        <w:rPr>
          <w:szCs w:val="24"/>
        </w:rPr>
        <w:t xml:space="preserve">, </w:t>
      </w:r>
      <w:r w:rsidR="00E6392E">
        <w:rPr>
          <w:szCs w:val="24"/>
        </w:rPr>
        <w:t>Johnson</w:t>
      </w:r>
      <w:r w:rsidR="00A65D6D">
        <w:rPr>
          <w:szCs w:val="24"/>
        </w:rPr>
        <w:t xml:space="preserve"> warns.</w:t>
      </w:r>
      <w:r w:rsidR="00987263">
        <w:rPr>
          <w:szCs w:val="24"/>
        </w:rPr>
        <w:t xml:space="preserve">  </w:t>
      </w:r>
    </w:p>
    <w:p w:rsidR="00C635BD" w:rsidRPr="006347A7" w:rsidRDefault="006347A7" w:rsidP="00F87C74">
      <w:pPr>
        <w:rPr>
          <w:szCs w:val="24"/>
        </w:rPr>
      </w:pPr>
      <w:r>
        <w:rPr>
          <w:b/>
          <w:szCs w:val="24"/>
        </w:rPr>
        <w:tab/>
      </w:r>
      <w:r w:rsidR="00F04A7A">
        <w:rPr>
          <w:szCs w:val="24"/>
        </w:rPr>
        <w:t xml:space="preserve">The following chart illustrates the </w:t>
      </w:r>
      <w:r w:rsidR="00E6392E">
        <w:rPr>
          <w:szCs w:val="24"/>
        </w:rPr>
        <w:t>difference between the</w:t>
      </w:r>
      <w:r w:rsidR="00645542">
        <w:rPr>
          <w:szCs w:val="24"/>
        </w:rPr>
        <w:t xml:space="preserve"> </w:t>
      </w:r>
      <w:r w:rsidR="00E6392E">
        <w:rPr>
          <w:szCs w:val="24"/>
        </w:rPr>
        <w:t>growth rate</w:t>
      </w:r>
      <w:r w:rsidR="000E5869">
        <w:rPr>
          <w:szCs w:val="24"/>
        </w:rPr>
        <w:t xml:space="preserve">s of typical Medicaid costs </w:t>
      </w:r>
      <w:r w:rsidR="00645542">
        <w:rPr>
          <w:szCs w:val="24"/>
        </w:rPr>
        <w:t>and the growth rate of consumer price indexes</w:t>
      </w:r>
      <w:r>
        <w:rPr>
          <w:szCs w:val="24"/>
        </w:rPr>
        <w:t>.</w:t>
      </w:r>
    </w:p>
    <w:p w:rsidR="00F912A1" w:rsidRPr="00FA1A79" w:rsidRDefault="00F912A1" w:rsidP="00F912A1">
      <w:pPr>
        <w:rPr>
          <w:szCs w:val="24"/>
        </w:rPr>
      </w:pPr>
    </w:p>
    <w:p w:rsidR="00F912A1" w:rsidRPr="00FA1A79" w:rsidRDefault="00FA1A79" w:rsidP="00FA1A79">
      <w:pPr>
        <w:jc w:val="center"/>
        <w:rPr>
          <w:b/>
          <w:szCs w:val="24"/>
        </w:rPr>
      </w:pPr>
      <w:r w:rsidRPr="00FA1A79">
        <w:rPr>
          <w:b/>
          <w:szCs w:val="24"/>
        </w:rPr>
        <w:t xml:space="preserve">Real Cost Growth </w:t>
      </w:r>
      <w:proofErr w:type="gramStart"/>
      <w:r w:rsidR="0064743C">
        <w:rPr>
          <w:b/>
          <w:szCs w:val="24"/>
        </w:rPr>
        <w:t>Versus</w:t>
      </w:r>
      <w:proofErr w:type="gramEnd"/>
      <w:r w:rsidR="0064743C">
        <w:rPr>
          <w:b/>
          <w:szCs w:val="24"/>
        </w:rPr>
        <w:t xml:space="preserve"> Growth In</w:t>
      </w:r>
      <w:r w:rsidRPr="00FA1A79">
        <w:rPr>
          <w:b/>
          <w:szCs w:val="24"/>
        </w:rPr>
        <w:t xml:space="preserve"> Inflation Indexes</w:t>
      </w:r>
    </w:p>
    <w:tbl>
      <w:tblPr>
        <w:tblStyle w:val="TableGrid"/>
        <w:tblW w:w="8505" w:type="dxa"/>
        <w:tblLook w:val="04A0"/>
      </w:tblPr>
      <w:tblGrid>
        <w:gridCol w:w="1556"/>
        <w:gridCol w:w="1176"/>
        <w:gridCol w:w="1296"/>
        <w:gridCol w:w="1083"/>
        <w:gridCol w:w="1069"/>
        <w:gridCol w:w="1069"/>
        <w:gridCol w:w="1256"/>
      </w:tblGrid>
      <w:tr w:rsidR="00FA1A79" w:rsidRPr="00FA1A79" w:rsidTr="007E771E">
        <w:tc>
          <w:tcPr>
            <w:tcW w:w="1556" w:type="dxa"/>
          </w:tcPr>
          <w:p w:rsidR="00FA1A79" w:rsidRPr="00FA1A79" w:rsidRDefault="00FA1A79" w:rsidP="00B92942">
            <w:pPr>
              <w:rPr>
                <w:b/>
                <w:szCs w:val="24"/>
              </w:rPr>
            </w:pPr>
            <w:r w:rsidRPr="00FA1A79">
              <w:rPr>
                <w:b/>
                <w:szCs w:val="24"/>
              </w:rPr>
              <w:t>Item</w:t>
            </w:r>
          </w:p>
        </w:tc>
        <w:tc>
          <w:tcPr>
            <w:tcW w:w="1176" w:type="dxa"/>
          </w:tcPr>
          <w:p w:rsidR="00FA1A79" w:rsidRPr="00FA1A79" w:rsidRDefault="00FA1A79" w:rsidP="00B92942">
            <w:pPr>
              <w:rPr>
                <w:b/>
                <w:szCs w:val="24"/>
              </w:rPr>
            </w:pPr>
            <w:r w:rsidRPr="00FA1A79">
              <w:rPr>
                <w:b/>
                <w:szCs w:val="24"/>
              </w:rPr>
              <w:t>Cost in 2000</w:t>
            </w:r>
          </w:p>
          <w:p w:rsidR="00FA1A79" w:rsidRPr="00FA1A79" w:rsidRDefault="00FA1A79" w:rsidP="00B92942">
            <w:pPr>
              <w:rPr>
                <w:b/>
                <w:szCs w:val="24"/>
              </w:rPr>
            </w:pPr>
          </w:p>
        </w:tc>
        <w:tc>
          <w:tcPr>
            <w:tcW w:w="1296" w:type="dxa"/>
          </w:tcPr>
          <w:p w:rsidR="00FA1A79" w:rsidRPr="00FA1A79" w:rsidRDefault="00FA1A79" w:rsidP="00B92942">
            <w:pPr>
              <w:rPr>
                <w:b/>
                <w:szCs w:val="24"/>
              </w:rPr>
            </w:pPr>
            <w:r w:rsidRPr="00FA1A79">
              <w:rPr>
                <w:b/>
                <w:szCs w:val="24"/>
              </w:rPr>
              <w:t>Cost through December 2016*</w:t>
            </w:r>
          </w:p>
        </w:tc>
        <w:tc>
          <w:tcPr>
            <w:tcW w:w="1083" w:type="dxa"/>
          </w:tcPr>
          <w:p w:rsidR="00D56A89" w:rsidRDefault="00FA1A79" w:rsidP="00B92942">
            <w:pPr>
              <w:rPr>
                <w:b/>
                <w:szCs w:val="24"/>
              </w:rPr>
            </w:pPr>
            <w:r w:rsidRPr="00FA1A79">
              <w:rPr>
                <w:b/>
                <w:szCs w:val="24"/>
              </w:rPr>
              <w:t>Percent Increase</w:t>
            </w:r>
          </w:p>
          <w:p w:rsidR="00D56A89" w:rsidRDefault="00D56A89" w:rsidP="00B92942">
            <w:pPr>
              <w:rPr>
                <w:b/>
                <w:szCs w:val="24"/>
              </w:rPr>
            </w:pPr>
            <w:r>
              <w:rPr>
                <w:b/>
                <w:szCs w:val="24"/>
              </w:rPr>
              <w:t>Since</w:t>
            </w:r>
          </w:p>
          <w:p w:rsidR="00FA1A79" w:rsidRPr="00FA1A79" w:rsidRDefault="00D56A89" w:rsidP="00B92942">
            <w:pPr>
              <w:rPr>
                <w:b/>
                <w:szCs w:val="24"/>
              </w:rPr>
            </w:pPr>
            <w:r>
              <w:rPr>
                <w:b/>
                <w:szCs w:val="24"/>
              </w:rPr>
              <w:t>2000</w:t>
            </w:r>
            <w:r w:rsidR="00FA1A79" w:rsidRPr="00FA1A79">
              <w:rPr>
                <w:b/>
                <w:szCs w:val="24"/>
              </w:rPr>
              <w:t xml:space="preserve"> </w:t>
            </w:r>
          </w:p>
        </w:tc>
        <w:tc>
          <w:tcPr>
            <w:tcW w:w="1069" w:type="dxa"/>
          </w:tcPr>
          <w:p w:rsidR="00972064" w:rsidRDefault="00FA1A79" w:rsidP="00B92942">
            <w:pPr>
              <w:rPr>
                <w:b/>
                <w:szCs w:val="24"/>
              </w:rPr>
            </w:pPr>
            <w:r w:rsidRPr="00FA1A79">
              <w:rPr>
                <w:b/>
                <w:szCs w:val="24"/>
              </w:rPr>
              <w:t>Average</w:t>
            </w:r>
          </w:p>
          <w:p w:rsidR="00FA1A79" w:rsidRPr="00FA1A79" w:rsidRDefault="00972064" w:rsidP="00B92942">
            <w:pPr>
              <w:rPr>
                <w:b/>
                <w:szCs w:val="24"/>
              </w:rPr>
            </w:pPr>
            <w:r>
              <w:rPr>
                <w:b/>
                <w:szCs w:val="24"/>
              </w:rPr>
              <w:t>Annual</w:t>
            </w:r>
            <w:r w:rsidR="00FA1A79" w:rsidRPr="00FA1A79">
              <w:rPr>
                <w:b/>
                <w:szCs w:val="24"/>
              </w:rPr>
              <w:t xml:space="preserve"> Growth Rate since 2000</w:t>
            </w:r>
          </w:p>
          <w:p w:rsidR="00FA1A79" w:rsidRPr="00FA1A79" w:rsidRDefault="00FA1A79" w:rsidP="00B92942">
            <w:pPr>
              <w:rPr>
                <w:b/>
                <w:szCs w:val="24"/>
              </w:rPr>
            </w:pPr>
          </w:p>
        </w:tc>
        <w:tc>
          <w:tcPr>
            <w:tcW w:w="1069" w:type="dxa"/>
          </w:tcPr>
          <w:p w:rsidR="00FA1A79" w:rsidRPr="00FA1A79" w:rsidRDefault="00972064" w:rsidP="00B92942">
            <w:pPr>
              <w:rPr>
                <w:b/>
                <w:szCs w:val="24"/>
              </w:rPr>
            </w:pPr>
            <w:r>
              <w:rPr>
                <w:b/>
                <w:szCs w:val="24"/>
              </w:rPr>
              <w:t xml:space="preserve">Average </w:t>
            </w:r>
            <w:r w:rsidR="00FA1A79" w:rsidRPr="00FA1A79">
              <w:rPr>
                <w:b/>
                <w:szCs w:val="24"/>
              </w:rPr>
              <w:t>Annual Growth Rate Medical Cost Index</w:t>
            </w:r>
          </w:p>
          <w:p w:rsidR="00FA1A79" w:rsidRPr="00FA1A79" w:rsidRDefault="00D56A89" w:rsidP="00FA1A79">
            <w:pPr>
              <w:rPr>
                <w:b/>
                <w:szCs w:val="24"/>
              </w:rPr>
            </w:pPr>
            <w:r>
              <w:rPr>
                <w:b/>
                <w:szCs w:val="24"/>
              </w:rPr>
              <w:t>(</w:t>
            </w:r>
            <w:r w:rsidR="00FA1A79" w:rsidRPr="00FA1A79">
              <w:rPr>
                <w:b/>
                <w:szCs w:val="24"/>
              </w:rPr>
              <w:t>House Version AHCA</w:t>
            </w:r>
            <w:r>
              <w:rPr>
                <w:b/>
                <w:szCs w:val="24"/>
              </w:rPr>
              <w:t>)</w:t>
            </w:r>
          </w:p>
        </w:tc>
        <w:tc>
          <w:tcPr>
            <w:tcW w:w="1256" w:type="dxa"/>
          </w:tcPr>
          <w:p w:rsidR="00972064" w:rsidRDefault="00972064" w:rsidP="00FA1A79">
            <w:pPr>
              <w:rPr>
                <w:b/>
                <w:szCs w:val="24"/>
              </w:rPr>
            </w:pPr>
            <w:r>
              <w:rPr>
                <w:b/>
                <w:szCs w:val="24"/>
              </w:rPr>
              <w:t>Average</w:t>
            </w:r>
          </w:p>
          <w:p w:rsidR="00972064" w:rsidRDefault="00FA1A79" w:rsidP="00FA1A79">
            <w:pPr>
              <w:rPr>
                <w:b/>
                <w:szCs w:val="24"/>
              </w:rPr>
            </w:pPr>
            <w:r w:rsidRPr="00FA1A79">
              <w:rPr>
                <w:b/>
                <w:szCs w:val="24"/>
              </w:rPr>
              <w:t xml:space="preserve">Annual Growth Rate </w:t>
            </w:r>
          </w:p>
          <w:p w:rsidR="00FA1A79" w:rsidRPr="00FA1A79" w:rsidRDefault="00FA1A79" w:rsidP="00FA1A79">
            <w:pPr>
              <w:rPr>
                <w:b/>
                <w:szCs w:val="24"/>
              </w:rPr>
            </w:pPr>
            <w:r w:rsidRPr="00FA1A79">
              <w:rPr>
                <w:b/>
                <w:szCs w:val="24"/>
              </w:rPr>
              <w:t>CPI-U</w:t>
            </w:r>
          </w:p>
          <w:p w:rsidR="00FA1A79" w:rsidRPr="00FA1A79" w:rsidRDefault="00FA1A79" w:rsidP="00FA1A79">
            <w:pPr>
              <w:rPr>
                <w:b/>
                <w:szCs w:val="24"/>
              </w:rPr>
            </w:pPr>
          </w:p>
          <w:p w:rsidR="00FA1A79" w:rsidRPr="00FA1A79" w:rsidRDefault="00D56A89" w:rsidP="00B92942">
            <w:pPr>
              <w:rPr>
                <w:b/>
                <w:szCs w:val="24"/>
              </w:rPr>
            </w:pPr>
            <w:r>
              <w:rPr>
                <w:b/>
                <w:szCs w:val="24"/>
              </w:rPr>
              <w:t>(</w:t>
            </w:r>
            <w:r w:rsidR="00FA1A79" w:rsidRPr="00FA1A79">
              <w:rPr>
                <w:b/>
                <w:szCs w:val="24"/>
              </w:rPr>
              <w:t xml:space="preserve">Proposed Senate version </w:t>
            </w:r>
            <w:r w:rsidR="0039717C">
              <w:rPr>
                <w:b/>
                <w:szCs w:val="24"/>
              </w:rPr>
              <w:t>BCRA</w:t>
            </w:r>
            <w:r>
              <w:rPr>
                <w:b/>
                <w:szCs w:val="24"/>
              </w:rPr>
              <w:t>)</w:t>
            </w:r>
          </w:p>
        </w:tc>
      </w:tr>
      <w:tr w:rsidR="00FA1A79" w:rsidRPr="00FA1A79" w:rsidTr="007E771E">
        <w:tc>
          <w:tcPr>
            <w:tcW w:w="1556" w:type="dxa"/>
          </w:tcPr>
          <w:p w:rsidR="00FA1A79" w:rsidRPr="00FA1A79" w:rsidRDefault="00FA1A79" w:rsidP="00B92942">
            <w:pPr>
              <w:rPr>
                <w:szCs w:val="24"/>
              </w:rPr>
            </w:pPr>
            <w:r w:rsidRPr="00FA1A79">
              <w:rPr>
                <w:szCs w:val="24"/>
              </w:rPr>
              <w:t xml:space="preserve">1. </w:t>
            </w:r>
            <w:r w:rsidRPr="00972064">
              <w:rPr>
                <w:szCs w:val="24"/>
              </w:rPr>
              <w:t xml:space="preserve">Medicare Part B monthly premium </w:t>
            </w:r>
          </w:p>
        </w:tc>
        <w:tc>
          <w:tcPr>
            <w:tcW w:w="1176" w:type="dxa"/>
          </w:tcPr>
          <w:p w:rsidR="00FA1A79" w:rsidRPr="00FA1A79" w:rsidRDefault="00FA1A79" w:rsidP="00B92942">
            <w:pPr>
              <w:rPr>
                <w:szCs w:val="24"/>
              </w:rPr>
            </w:pPr>
            <w:r w:rsidRPr="00FA1A79">
              <w:rPr>
                <w:szCs w:val="24"/>
              </w:rPr>
              <w:t>$45.50</w:t>
            </w:r>
          </w:p>
        </w:tc>
        <w:tc>
          <w:tcPr>
            <w:tcW w:w="1296" w:type="dxa"/>
          </w:tcPr>
          <w:p w:rsidR="00FA1A79" w:rsidRPr="00FA1A79" w:rsidRDefault="00FA1A79" w:rsidP="00B92942">
            <w:pPr>
              <w:rPr>
                <w:szCs w:val="24"/>
              </w:rPr>
            </w:pPr>
            <w:r w:rsidRPr="00FA1A79">
              <w:rPr>
                <w:szCs w:val="24"/>
              </w:rPr>
              <w:t>$134.00</w:t>
            </w:r>
          </w:p>
        </w:tc>
        <w:tc>
          <w:tcPr>
            <w:tcW w:w="1083" w:type="dxa"/>
          </w:tcPr>
          <w:p w:rsidR="00FA1A79" w:rsidRPr="00FA1A79" w:rsidRDefault="00FA1A79" w:rsidP="00B92942">
            <w:pPr>
              <w:rPr>
                <w:szCs w:val="24"/>
              </w:rPr>
            </w:pPr>
            <w:r w:rsidRPr="00FA1A79">
              <w:rPr>
                <w:szCs w:val="24"/>
              </w:rPr>
              <w:t>195%</w:t>
            </w:r>
          </w:p>
        </w:tc>
        <w:tc>
          <w:tcPr>
            <w:tcW w:w="1069" w:type="dxa"/>
          </w:tcPr>
          <w:p w:rsidR="00FA1A79" w:rsidRPr="00FA1A79" w:rsidRDefault="00FA1A79" w:rsidP="00B92942">
            <w:pPr>
              <w:rPr>
                <w:szCs w:val="24"/>
              </w:rPr>
            </w:pPr>
            <w:r w:rsidRPr="00FA1A79">
              <w:rPr>
                <w:szCs w:val="24"/>
              </w:rPr>
              <w:t>12.2%</w:t>
            </w:r>
          </w:p>
          <w:p w:rsidR="00FA1A79" w:rsidRPr="00FA1A79" w:rsidRDefault="00FA1A79" w:rsidP="00B92942">
            <w:pPr>
              <w:rPr>
                <w:szCs w:val="24"/>
              </w:rPr>
            </w:pPr>
          </w:p>
        </w:tc>
        <w:tc>
          <w:tcPr>
            <w:tcW w:w="1069" w:type="dxa"/>
          </w:tcPr>
          <w:p w:rsidR="00FA1A79" w:rsidRPr="00FA1A79" w:rsidRDefault="00FA1A79" w:rsidP="00B92942">
            <w:pPr>
              <w:rPr>
                <w:szCs w:val="24"/>
              </w:rPr>
            </w:pPr>
            <w:r w:rsidRPr="00FA1A79">
              <w:rPr>
                <w:szCs w:val="24"/>
              </w:rPr>
              <w:t>5.5%</w:t>
            </w:r>
          </w:p>
          <w:p w:rsidR="00FA1A79" w:rsidRPr="00FA1A79" w:rsidRDefault="00FA1A79" w:rsidP="00B92942">
            <w:pPr>
              <w:rPr>
                <w:szCs w:val="24"/>
              </w:rPr>
            </w:pPr>
          </w:p>
        </w:tc>
        <w:tc>
          <w:tcPr>
            <w:tcW w:w="1256" w:type="dxa"/>
          </w:tcPr>
          <w:p w:rsidR="00FA1A79" w:rsidRPr="00FA1A79" w:rsidRDefault="00FA1A79" w:rsidP="00FA1A79">
            <w:pPr>
              <w:rPr>
                <w:szCs w:val="24"/>
              </w:rPr>
            </w:pPr>
            <w:r w:rsidRPr="00FA1A79">
              <w:rPr>
                <w:szCs w:val="24"/>
              </w:rPr>
              <w:t>2.4%</w:t>
            </w:r>
          </w:p>
          <w:p w:rsidR="00FA1A79" w:rsidRPr="00FA1A79" w:rsidRDefault="00FA1A79" w:rsidP="00B92942">
            <w:pPr>
              <w:rPr>
                <w:szCs w:val="24"/>
              </w:rPr>
            </w:pPr>
          </w:p>
        </w:tc>
      </w:tr>
      <w:tr w:rsidR="00FA1A79" w:rsidRPr="00FA1A79" w:rsidTr="007E771E">
        <w:tc>
          <w:tcPr>
            <w:tcW w:w="1556" w:type="dxa"/>
          </w:tcPr>
          <w:p w:rsidR="00FA1A79" w:rsidRPr="00FA1A79" w:rsidRDefault="00FA1A79" w:rsidP="00B92942">
            <w:pPr>
              <w:rPr>
                <w:szCs w:val="24"/>
              </w:rPr>
            </w:pPr>
            <w:r>
              <w:rPr>
                <w:szCs w:val="24"/>
              </w:rPr>
              <w:t>2.</w:t>
            </w:r>
            <w:r w:rsidRPr="00FA1A79">
              <w:rPr>
                <w:szCs w:val="24"/>
              </w:rPr>
              <w:t>Prescription drugs</w:t>
            </w:r>
          </w:p>
          <w:p w:rsidR="00FA1A79" w:rsidRPr="00FA1A79" w:rsidRDefault="00FA1A79" w:rsidP="00B92942">
            <w:pPr>
              <w:rPr>
                <w:szCs w:val="24"/>
              </w:rPr>
            </w:pPr>
            <w:r w:rsidRPr="00FA1A79">
              <w:rPr>
                <w:szCs w:val="24"/>
              </w:rPr>
              <w:t>Annual average out-of- pocket*</w:t>
            </w:r>
          </w:p>
        </w:tc>
        <w:tc>
          <w:tcPr>
            <w:tcW w:w="1176" w:type="dxa"/>
          </w:tcPr>
          <w:p w:rsidR="00FA1A79" w:rsidRPr="00FA1A79" w:rsidRDefault="00FA1A79" w:rsidP="00B92942">
            <w:pPr>
              <w:rPr>
                <w:szCs w:val="24"/>
              </w:rPr>
            </w:pPr>
            <w:r w:rsidRPr="00FA1A79">
              <w:rPr>
                <w:szCs w:val="24"/>
              </w:rPr>
              <w:t>$1,102.00</w:t>
            </w:r>
          </w:p>
        </w:tc>
        <w:tc>
          <w:tcPr>
            <w:tcW w:w="1296" w:type="dxa"/>
          </w:tcPr>
          <w:p w:rsidR="00FA1A79" w:rsidRPr="00FA1A79" w:rsidRDefault="00FA1A79" w:rsidP="00B92942">
            <w:pPr>
              <w:rPr>
                <w:szCs w:val="24"/>
              </w:rPr>
            </w:pPr>
            <w:r w:rsidRPr="00FA1A79">
              <w:rPr>
                <w:szCs w:val="24"/>
              </w:rPr>
              <w:t>$3,132.00</w:t>
            </w:r>
          </w:p>
        </w:tc>
        <w:tc>
          <w:tcPr>
            <w:tcW w:w="1083" w:type="dxa"/>
          </w:tcPr>
          <w:p w:rsidR="00FA1A79" w:rsidRPr="00FA1A79" w:rsidRDefault="00FA1A79" w:rsidP="00B92942">
            <w:pPr>
              <w:rPr>
                <w:szCs w:val="24"/>
              </w:rPr>
            </w:pPr>
            <w:r w:rsidRPr="00FA1A79">
              <w:rPr>
                <w:szCs w:val="24"/>
              </w:rPr>
              <w:t>184%</w:t>
            </w:r>
          </w:p>
        </w:tc>
        <w:tc>
          <w:tcPr>
            <w:tcW w:w="1069" w:type="dxa"/>
          </w:tcPr>
          <w:p w:rsidR="00FA1A79" w:rsidRPr="00FA1A79" w:rsidRDefault="00FA1A79" w:rsidP="00B92942">
            <w:pPr>
              <w:rPr>
                <w:szCs w:val="24"/>
              </w:rPr>
            </w:pPr>
            <w:r w:rsidRPr="00FA1A79">
              <w:rPr>
                <w:szCs w:val="24"/>
              </w:rPr>
              <w:t>11.5%</w:t>
            </w:r>
          </w:p>
        </w:tc>
        <w:tc>
          <w:tcPr>
            <w:tcW w:w="1069" w:type="dxa"/>
          </w:tcPr>
          <w:p w:rsidR="00FA1A79" w:rsidRPr="00FA1A79" w:rsidRDefault="00FA1A79" w:rsidP="00B92942">
            <w:pPr>
              <w:rPr>
                <w:szCs w:val="24"/>
              </w:rPr>
            </w:pPr>
            <w:r w:rsidRPr="00FA1A79">
              <w:rPr>
                <w:szCs w:val="24"/>
              </w:rPr>
              <w:t>5.5%</w:t>
            </w:r>
          </w:p>
          <w:p w:rsidR="00FA1A79" w:rsidRPr="00FA1A79" w:rsidRDefault="00FA1A79" w:rsidP="00B92942">
            <w:pPr>
              <w:rPr>
                <w:szCs w:val="24"/>
              </w:rPr>
            </w:pPr>
          </w:p>
        </w:tc>
        <w:tc>
          <w:tcPr>
            <w:tcW w:w="1256" w:type="dxa"/>
          </w:tcPr>
          <w:p w:rsidR="00FA1A79" w:rsidRPr="00FA1A79" w:rsidRDefault="00FA1A79" w:rsidP="00B92942">
            <w:pPr>
              <w:rPr>
                <w:szCs w:val="24"/>
              </w:rPr>
            </w:pPr>
            <w:r w:rsidRPr="00FA1A79">
              <w:rPr>
                <w:szCs w:val="24"/>
              </w:rPr>
              <w:t>2.4%</w:t>
            </w:r>
          </w:p>
        </w:tc>
      </w:tr>
      <w:tr w:rsidR="00FA1A79" w:rsidRPr="00FA1A79" w:rsidTr="007E771E">
        <w:tc>
          <w:tcPr>
            <w:tcW w:w="1556" w:type="dxa"/>
          </w:tcPr>
          <w:p w:rsidR="00FA1A79" w:rsidRPr="00FA1A79" w:rsidRDefault="00FA1A79" w:rsidP="00F87C74">
            <w:pPr>
              <w:rPr>
                <w:szCs w:val="24"/>
              </w:rPr>
            </w:pPr>
            <w:r w:rsidRPr="00FA1A79">
              <w:rPr>
                <w:szCs w:val="24"/>
              </w:rPr>
              <w:t>3. Total medical out-of-pocket expenses</w:t>
            </w:r>
          </w:p>
          <w:p w:rsidR="00FA1A79" w:rsidRPr="00FA1A79" w:rsidRDefault="00FA1A79" w:rsidP="00B92942">
            <w:pPr>
              <w:rPr>
                <w:szCs w:val="24"/>
              </w:rPr>
            </w:pPr>
          </w:p>
        </w:tc>
        <w:tc>
          <w:tcPr>
            <w:tcW w:w="1176" w:type="dxa"/>
          </w:tcPr>
          <w:p w:rsidR="00FA1A79" w:rsidRPr="00FA1A79" w:rsidRDefault="00FA1A79" w:rsidP="00F87C74">
            <w:pPr>
              <w:rPr>
                <w:szCs w:val="24"/>
              </w:rPr>
            </w:pPr>
            <w:r w:rsidRPr="00FA1A79">
              <w:rPr>
                <w:szCs w:val="24"/>
              </w:rPr>
              <w:t>$6,140.00</w:t>
            </w:r>
          </w:p>
        </w:tc>
        <w:tc>
          <w:tcPr>
            <w:tcW w:w="1296" w:type="dxa"/>
          </w:tcPr>
          <w:p w:rsidR="00FA1A79" w:rsidRPr="00FA1A79" w:rsidRDefault="00FA1A79" w:rsidP="00B92942">
            <w:pPr>
              <w:rPr>
                <w:szCs w:val="24"/>
              </w:rPr>
            </w:pPr>
            <w:r w:rsidRPr="00FA1A79">
              <w:rPr>
                <w:szCs w:val="24"/>
              </w:rPr>
              <w:t>$12,125.00</w:t>
            </w:r>
          </w:p>
        </w:tc>
        <w:tc>
          <w:tcPr>
            <w:tcW w:w="1083" w:type="dxa"/>
          </w:tcPr>
          <w:p w:rsidR="00FA1A79" w:rsidRPr="00FA1A79" w:rsidRDefault="00FA1A79" w:rsidP="00B92942">
            <w:pPr>
              <w:rPr>
                <w:szCs w:val="24"/>
              </w:rPr>
            </w:pPr>
            <w:r w:rsidRPr="00FA1A79">
              <w:rPr>
                <w:szCs w:val="24"/>
              </w:rPr>
              <w:t>97%</w:t>
            </w:r>
          </w:p>
        </w:tc>
        <w:tc>
          <w:tcPr>
            <w:tcW w:w="1069" w:type="dxa"/>
          </w:tcPr>
          <w:p w:rsidR="00FA1A79" w:rsidRPr="00FA1A79" w:rsidRDefault="00FA1A79" w:rsidP="00B92942">
            <w:pPr>
              <w:rPr>
                <w:szCs w:val="24"/>
              </w:rPr>
            </w:pPr>
            <w:r w:rsidRPr="00FA1A79">
              <w:rPr>
                <w:szCs w:val="24"/>
              </w:rPr>
              <w:t>6.06%</w:t>
            </w:r>
          </w:p>
          <w:p w:rsidR="00FA1A79" w:rsidRPr="00FA1A79" w:rsidRDefault="00FA1A79" w:rsidP="00B92942">
            <w:pPr>
              <w:rPr>
                <w:szCs w:val="24"/>
              </w:rPr>
            </w:pPr>
          </w:p>
        </w:tc>
        <w:tc>
          <w:tcPr>
            <w:tcW w:w="1069" w:type="dxa"/>
          </w:tcPr>
          <w:p w:rsidR="00FA1A79" w:rsidRPr="00FA1A79" w:rsidRDefault="00FA1A79" w:rsidP="00B92942">
            <w:pPr>
              <w:rPr>
                <w:szCs w:val="24"/>
              </w:rPr>
            </w:pPr>
            <w:r w:rsidRPr="00FA1A79">
              <w:rPr>
                <w:szCs w:val="24"/>
              </w:rPr>
              <w:t>5.5%</w:t>
            </w:r>
          </w:p>
          <w:p w:rsidR="00FA1A79" w:rsidRPr="00FA1A79" w:rsidRDefault="00FA1A79" w:rsidP="00B92942">
            <w:pPr>
              <w:rPr>
                <w:szCs w:val="24"/>
              </w:rPr>
            </w:pPr>
          </w:p>
        </w:tc>
        <w:tc>
          <w:tcPr>
            <w:tcW w:w="1256" w:type="dxa"/>
          </w:tcPr>
          <w:p w:rsidR="00FA1A79" w:rsidRPr="00FA1A79" w:rsidRDefault="00FA1A79" w:rsidP="00FA1A79">
            <w:pPr>
              <w:rPr>
                <w:szCs w:val="24"/>
              </w:rPr>
            </w:pPr>
            <w:r w:rsidRPr="00FA1A79">
              <w:rPr>
                <w:szCs w:val="24"/>
              </w:rPr>
              <w:t>2.4%</w:t>
            </w:r>
          </w:p>
          <w:p w:rsidR="00FA1A79" w:rsidRPr="00FA1A79" w:rsidRDefault="00FA1A79" w:rsidP="00B92942">
            <w:pPr>
              <w:rPr>
                <w:szCs w:val="24"/>
              </w:rPr>
            </w:pPr>
          </w:p>
        </w:tc>
      </w:tr>
      <w:tr w:rsidR="00FA1A79" w:rsidRPr="00FA1A79" w:rsidTr="007E771E">
        <w:tc>
          <w:tcPr>
            <w:tcW w:w="1556" w:type="dxa"/>
          </w:tcPr>
          <w:p w:rsidR="00FA1A79" w:rsidRPr="00FA1A79" w:rsidRDefault="00FA1A79" w:rsidP="00B92942">
            <w:pPr>
              <w:rPr>
                <w:szCs w:val="24"/>
              </w:rPr>
            </w:pPr>
            <w:r w:rsidRPr="00FA1A79">
              <w:rPr>
                <w:szCs w:val="24"/>
              </w:rPr>
              <w:t>4.</w:t>
            </w:r>
            <w:r w:rsidR="00884B80">
              <w:rPr>
                <w:szCs w:val="24"/>
              </w:rPr>
              <w:t xml:space="preserve"> </w:t>
            </w:r>
            <w:r w:rsidRPr="00FA1A79">
              <w:rPr>
                <w:szCs w:val="24"/>
              </w:rPr>
              <w:t>Nursing home care</w:t>
            </w:r>
          </w:p>
          <w:p w:rsidR="00FA1A79" w:rsidRPr="00FA1A79" w:rsidRDefault="00FA1A79" w:rsidP="00B140DC">
            <w:pPr>
              <w:rPr>
                <w:szCs w:val="24"/>
              </w:rPr>
            </w:pPr>
            <w:r w:rsidRPr="00FA1A79">
              <w:rPr>
                <w:szCs w:val="24"/>
              </w:rPr>
              <w:t>semi-private room</w:t>
            </w:r>
          </w:p>
        </w:tc>
        <w:tc>
          <w:tcPr>
            <w:tcW w:w="1176" w:type="dxa"/>
          </w:tcPr>
          <w:p w:rsidR="00FA1A79" w:rsidRPr="00FA1A79" w:rsidRDefault="00FA1A79" w:rsidP="007F7460">
            <w:pPr>
              <w:rPr>
                <w:szCs w:val="24"/>
              </w:rPr>
            </w:pPr>
          </w:p>
        </w:tc>
        <w:tc>
          <w:tcPr>
            <w:tcW w:w="1296" w:type="dxa"/>
          </w:tcPr>
          <w:p w:rsidR="00FA1A79" w:rsidRPr="00FA1A79" w:rsidRDefault="00FA1A79" w:rsidP="00B92942">
            <w:pPr>
              <w:rPr>
                <w:szCs w:val="24"/>
              </w:rPr>
            </w:pPr>
          </w:p>
        </w:tc>
        <w:tc>
          <w:tcPr>
            <w:tcW w:w="1083" w:type="dxa"/>
          </w:tcPr>
          <w:p w:rsidR="00FA1A79" w:rsidRPr="00FA1A79" w:rsidRDefault="00FA1A79" w:rsidP="00B92942">
            <w:pPr>
              <w:rPr>
                <w:szCs w:val="24"/>
              </w:rPr>
            </w:pPr>
          </w:p>
        </w:tc>
        <w:tc>
          <w:tcPr>
            <w:tcW w:w="1069" w:type="dxa"/>
          </w:tcPr>
          <w:p w:rsidR="00FA1A79" w:rsidRDefault="00884B80" w:rsidP="00B92942">
            <w:pPr>
              <w:rPr>
                <w:szCs w:val="24"/>
              </w:rPr>
            </w:pPr>
            <w:r>
              <w:rPr>
                <w:szCs w:val="24"/>
              </w:rPr>
              <w:t>3.12%</w:t>
            </w:r>
          </w:p>
          <w:p w:rsidR="00884B80" w:rsidRPr="00FA1A79" w:rsidRDefault="00884B80" w:rsidP="00B92942">
            <w:pPr>
              <w:rPr>
                <w:szCs w:val="24"/>
              </w:rPr>
            </w:pPr>
            <w:r>
              <w:rPr>
                <w:szCs w:val="24"/>
              </w:rPr>
              <w:t>(annual 5 yr. growth rate)</w:t>
            </w:r>
          </w:p>
        </w:tc>
        <w:tc>
          <w:tcPr>
            <w:tcW w:w="1069" w:type="dxa"/>
          </w:tcPr>
          <w:p w:rsidR="00FA1A79" w:rsidRPr="00FA1A79" w:rsidRDefault="00FA1A79" w:rsidP="00B92942">
            <w:pPr>
              <w:rPr>
                <w:szCs w:val="24"/>
              </w:rPr>
            </w:pPr>
            <w:r w:rsidRPr="00FA1A79">
              <w:rPr>
                <w:szCs w:val="24"/>
              </w:rPr>
              <w:t>5.5%</w:t>
            </w:r>
          </w:p>
          <w:p w:rsidR="00FA1A79" w:rsidRPr="00FA1A79" w:rsidRDefault="00FA1A79" w:rsidP="00B92942">
            <w:pPr>
              <w:rPr>
                <w:szCs w:val="24"/>
              </w:rPr>
            </w:pPr>
          </w:p>
        </w:tc>
        <w:tc>
          <w:tcPr>
            <w:tcW w:w="1256" w:type="dxa"/>
          </w:tcPr>
          <w:p w:rsidR="00FA1A79" w:rsidRPr="00FA1A79" w:rsidRDefault="00FA1A79" w:rsidP="00FA1A79">
            <w:pPr>
              <w:rPr>
                <w:szCs w:val="24"/>
              </w:rPr>
            </w:pPr>
            <w:r w:rsidRPr="00FA1A79">
              <w:rPr>
                <w:szCs w:val="24"/>
              </w:rPr>
              <w:t>2.4%</w:t>
            </w:r>
          </w:p>
          <w:p w:rsidR="00FA1A79" w:rsidRPr="00FA1A79" w:rsidRDefault="00FA1A79" w:rsidP="00FA1A79">
            <w:pPr>
              <w:rPr>
                <w:szCs w:val="24"/>
              </w:rPr>
            </w:pPr>
          </w:p>
          <w:p w:rsidR="00FA1A79" w:rsidRPr="00FA1A79" w:rsidRDefault="00FA1A79" w:rsidP="00B92942">
            <w:pPr>
              <w:rPr>
                <w:szCs w:val="24"/>
              </w:rPr>
            </w:pPr>
          </w:p>
        </w:tc>
      </w:tr>
    </w:tbl>
    <w:p w:rsidR="009F1469" w:rsidRPr="00FA1A79" w:rsidRDefault="00B140DC" w:rsidP="00F912A1">
      <w:pPr>
        <w:rPr>
          <w:szCs w:val="24"/>
        </w:rPr>
      </w:pPr>
      <w:r w:rsidRPr="00FA1A79">
        <w:rPr>
          <w:szCs w:val="24"/>
        </w:rPr>
        <w:t>*</w:t>
      </w:r>
      <w:r w:rsidR="009F1469" w:rsidRPr="00FA1A79">
        <w:rPr>
          <w:szCs w:val="24"/>
        </w:rPr>
        <w:t>(</w:t>
      </w:r>
      <w:r w:rsidR="007F7460" w:rsidRPr="00FA1A79">
        <w:rPr>
          <w:szCs w:val="24"/>
        </w:rPr>
        <w:t>State Medicaid programs are responsible for reimbursing Medicare for Part D drug costs.</w:t>
      </w:r>
      <w:r w:rsidR="009F1469" w:rsidRPr="00FA1A79">
        <w:rPr>
          <w:szCs w:val="24"/>
        </w:rPr>
        <w:t>)</w:t>
      </w:r>
    </w:p>
    <w:p w:rsidR="009F1469" w:rsidRPr="00FA1A79" w:rsidRDefault="009F1469" w:rsidP="00F912A1">
      <w:pPr>
        <w:rPr>
          <w:szCs w:val="24"/>
        </w:rPr>
      </w:pPr>
      <w:r w:rsidRPr="00FA1A79">
        <w:rPr>
          <w:szCs w:val="24"/>
        </w:rPr>
        <w:t>1-3.</w:t>
      </w:r>
      <w:r w:rsidRPr="00FA1A79">
        <w:rPr>
          <w:szCs w:val="24"/>
        </w:rPr>
        <w:tab/>
        <w:t xml:space="preserve"> Source: The Senior Citizens League, 2017 Loss of Buying Power Study.</w:t>
      </w:r>
    </w:p>
    <w:p w:rsidR="009F1469" w:rsidRPr="00FA1A79" w:rsidRDefault="009F1469" w:rsidP="00F912A1">
      <w:pPr>
        <w:rPr>
          <w:szCs w:val="24"/>
        </w:rPr>
      </w:pPr>
      <w:r w:rsidRPr="00FA1A79">
        <w:rPr>
          <w:szCs w:val="24"/>
        </w:rPr>
        <w:t>4.</w:t>
      </w:r>
      <w:r w:rsidRPr="00FA1A79">
        <w:rPr>
          <w:szCs w:val="24"/>
        </w:rPr>
        <w:tab/>
        <w:t xml:space="preserve">Source: </w:t>
      </w:r>
      <w:proofErr w:type="spellStart"/>
      <w:r w:rsidRPr="00FA1A79">
        <w:rPr>
          <w:szCs w:val="24"/>
        </w:rPr>
        <w:t>Genworth</w:t>
      </w:r>
      <w:proofErr w:type="spellEnd"/>
      <w:r w:rsidR="002E6DD3" w:rsidRPr="00FA1A79">
        <w:rPr>
          <w:szCs w:val="24"/>
        </w:rPr>
        <w:t xml:space="preserve"> Financial</w:t>
      </w:r>
      <w:r w:rsidRPr="00FA1A79">
        <w:rPr>
          <w:szCs w:val="24"/>
        </w:rPr>
        <w:t xml:space="preserve"> 2016 Cost of Care survey.</w:t>
      </w:r>
    </w:p>
    <w:p w:rsidR="009F1469" w:rsidRPr="00FA1A79" w:rsidRDefault="009F1469" w:rsidP="00F912A1">
      <w:pPr>
        <w:rPr>
          <w:szCs w:val="24"/>
        </w:rPr>
      </w:pPr>
    </w:p>
    <w:p w:rsidR="00F912A1" w:rsidRPr="00FA1A79" w:rsidRDefault="00F912A1" w:rsidP="007F7460">
      <w:pPr>
        <w:rPr>
          <w:szCs w:val="24"/>
        </w:rPr>
      </w:pPr>
      <w:r w:rsidRPr="00FA1A79">
        <w:rPr>
          <w:szCs w:val="24"/>
        </w:rPr>
        <w:tab/>
      </w:r>
      <w:r w:rsidR="00F04A7A">
        <w:rPr>
          <w:szCs w:val="24"/>
        </w:rPr>
        <w:t>“Capping and adjusting payments to states using thes</w:t>
      </w:r>
      <w:r w:rsidR="0064743C">
        <w:rPr>
          <w:szCs w:val="24"/>
        </w:rPr>
        <w:t>e consumer price index measures</w:t>
      </w:r>
      <w:r w:rsidR="00F04A7A">
        <w:rPr>
          <w:szCs w:val="24"/>
        </w:rPr>
        <w:t xml:space="preserve"> </w:t>
      </w:r>
      <w:r w:rsidR="00736923">
        <w:rPr>
          <w:szCs w:val="24"/>
        </w:rPr>
        <w:t>would take benefits away from millions of low –</w:t>
      </w:r>
      <w:r w:rsidR="0039717C">
        <w:rPr>
          <w:szCs w:val="24"/>
        </w:rPr>
        <w:t xml:space="preserve"> </w:t>
      </w:r>
      <w:r w:rsidR="00736923">
        <w:rPr>
          <w:szCs w:val="24"/>
        </w:rPr>
        <w:t xml:space="preserve">income families, </w:t>
      </w:r>
      <w:r w:rsidR="0064743C">
        <w:rPr>
          <w:szCs w:val="24"/>
        </w:rPr>
        <w:t>including</w:t>
      </w:r>
      <w:r w:rsidR="000E5869">
        <w:rPr>
          <w:szCs w:val="24"/>
        </w:rPr>
        <w:t xml:space="preserve"> </w:t>
      </w:r>
      <w:r w:rsidR="00736923">
        <w:rPr>
          <w:szCs w:val="24"/>
        </w:rPr>
        <w:t>disabled and older Americans</w:t>
      </w:r>
      <w:r w:rsidR="004A1ABF">
        <w:rPr>
          <w:szCs w:val="24"/>
        </w:rPr>
        <w:t xml:space="preserve"> in nursing homes</w:t>
      </w:r>
      <w:r w:rsidR="00736923">
        <w:rPr>
          <w:szCs w:val="24"/>
        </w:rPr>
        <w:t>,</w:t>
      </w:r>
      <w:r w:rsidR="00F04A7A">
        <w:rPr>
          <w:szCs w:val="24"/>
        </w:rPr>
        <w:t xml:space="preserve"> </w:t>
      </w:r>
      <w:r w:rsidR="00736923">
        <w:rPr>
          <w:szCs w:val="24"/>
        </w:rPr>
        <w:t xml:space="preserve">all to pay for massive tax breaks for the very wealthiest U.S. households,” Johnson says. “This </w:t>
      </w:r>
      <w:r w:rsidR="004A1ABF">
        <w:rPr>
          <w:szCs w:val="24"/>
        </w:rPr>
        <w:t xml:space="preserve">bill hides the true cost from the public and </w:t>
      </w:r>
      <w:r w:rsidR="00736923">
        <w:rPr>
          <w:szCs w:val="24"/>
        </w:rPr>
        <w:t xml:space="preserve">threatens access to care.”   </w:t>
      </w:r>
      <w:r w:rsidR="00987263">
        <w:rPr>
          <w:szCs w:val="24"/>
        </w:rPr>
        <w:t xml:space="preserve">The Senior Citizens League opposes </w:t>
      </w:r>
      <w:r w:rsidR="0064743C">
        <w:rPr>
          <w:szCs w:val="24"/>
        </w:rPr>
        <w:t>the new health care legislation</w:t>
      </w:r>
      <w:r w:rsidR="00987263">
        <w:rPr>
          <w:szCs w:val="24"/>
        </w:rPr>
        <w:t xml:space="preserve"> and urges the public to contact </w:t>
      </w:r>
      <w:r w:rsidR="00AC6206">
        <w:rPr>
          <w:szCs w:val="24"/>
        </w:rPr>
        <w:t>lawmakers.</w:t>
      </w:r>
    </w:p>
    <w:p w:rsidR="00F912A1" w:rsidRPr="00FA1A79" w:rsidRDefault="00F912A1" w:rsidP="00F912A1">
      <w:pPr>
        <w:rPr>
          <w:szCs w:val="24"/>
        </w:rPr>
      </w:pPr>
      <w:r w:rsidRPr="00FA1A79">
        <w:rPr>
          <w:szCs w:val="24"/>
        </w:rPr>
        <w:t> </w:t>
      </w:r>
    </w:p>
    <w:p w:rsidR="00F912A1" w:rsidRPr="0042609D" w:rsidRDefault="00F912A1" w:rsidP="00F912A1">
      <w:pPr>
        <w:jc w:val="center"/>
        <w:rPr>
          <w:sz w:val="22"/>
          <w:szCs w:val="22"/>
        </w:rPr>
      </w:pPr>
      <w:r w:rsidRPr="0042609D">
        <w:rPr>
          <w:sz w:val="22"/>
          <w:szCs w:val="22"/>
        </w:rPr>
        <w:t>###</w:t>
      </w:r>
    </w:p>
    <w:p w:rsidR="00F912A1" w:rsidRPr="00E3496A" w:rsidRDefault="00F912A1" w:rsidP="00F912A1">
      <w:pPr>
        <w:rPr>
          <w:sz w:val="23"/>
          <w:szCs w:val="23"/>
        </w:rPr>
      </w:pPr>
    </w:p>
    <w:p w:rsidR="00F912A1" w:rsidRPr="001A7D5F" w:rsidRDefault="00F912A1" w:rsidP="00F912A1">
      <w:pPr>
        <w:rPr>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9" w:history="1">
        <w:r w:rsidRPr="001A7D5F">
          <w:rPr>
            <w:rStyle w:val="Hyperlink"/>
            <w:bCs/>
            <w:i/>
            <w:sz w:val="21"/>
            <w:szCs w:val="21"/>
          </w:rPr>
          <w:t>www.SeniorsLeague.org</w:t>
        </w:r>
      </w:hyperlink>
      <w:r w:rsidRPr="001A7D5F">
        <w:rPr>
          <w:bCs/>
          <w:i/>
          <w:sz w:val="21"/>
          <w:szCs w:val="21"/>
        </w:rPr>
        <w:t xml:space="preserve"> for more information.</w:t>
      </w:r>
    </w:p>
    <w:p w:rsidR="00F912A1" w:rsidRDefault="00F912A1" w:rsidP="00F912A1">
      <w:pPr>
        <w:rPr>
          <w:sz w:val="23"/>
          <w:szCs w:val="23"/>
        </w:rPr>
      </w:pPr>
    </w:p>
    <w:p w:rsidR="00F912A1" w:rsidRPr="004A76AA" w:rsidRDefault="00F912A1" w:rsidP="00F912A1">
      <w:pPr>
        <w:rPr>
          <w:b/>
          <w:sz w:val="23"/>
          <w:szCs w:val="23"/>
        </w:rPr>
      </w:pPr>
    </w:p>
    <w:p w:rsidR="00F912A1" w:rsidRDefault="00F912A1" w:rsidP="00F912A1">
      <w:pPr>
        <w:rPr>
          <w:b/>
        </w:rPr>
      </w:pPr>
    </w:p>
    <w:p w:rsidR="00F912A1" w:rsidRDefault="00F912A1" w:rsidP="00F912A1">
      <w:pPr>
        <w:rPr>
          <w:b/>
        </w:rPr>
      </w:pPr>
    </w:p>
    <w:p w:rsidR="00FE7CEA" w:rsidRDefault="00FE7CEA" w:rsidP="00F912A1">
      <w:pPr>
        <w:ind w:right="522"/>
      </w:pPr>
    </w:p>
    <w:sectPr w:rsidR="00FE7CEA" w:rsidSect="00FE7CEA">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EB" w:rsidRDefault="00094BEB" w:rsidP="00EC441B">
      <w:r>
        <w:separator/>
      </w:r>
    </w:p>
  </w:endnote>
  <w:endnote w:type="continuationSeparator" w:id="0">
    <w:p w:rsidR="00094BEB" w:rsidRDefault="00094BEB"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EB" w:rsidRDefault="00094BEB" w:rsidP="00EC441B">
      <w:r>
        <w:separator/>
      </w:r>
    </w:p>
  </w:footnote>
  <w:footnote w:type="continuationSeparator" w:id="0">
    <w:p w:rsidR="00094BEB" w:rsidRDefault="00094BEB"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ED0B65"/>
    <w:multiLevelType w:val="hybridMultilevel"/>
    <w:tmpl w:val="A12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02DFF"/>
    <w:multiLevelType w:val="hybridMultilevel"/>
    <w:tmpl w:val="BCB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8434E"/>
    <w:multiLevelType w:val="hybridMultilevel"/>
    <w:tmpl w:val="93884B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17952"/>
    <w:multiLevelType w:val="hybridMultilevel"/>
    <w:tmpl w:val="1DB0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9"/>
  </w:num>
  <w:num w:numId="6">
    <w:abstractNumId w:val="4"/>
  </w:num>
  <w:num w:numId="7">
    <w:abstractNumId w:val="5"/>
  </w:num>
  <w:num w:numId="8">
    <w:abstractNumId w:val="1"/>
  </w:num>
  <w:num w:numId="9">
    <w:abstractNumId w:val="3"/>
  </w:num>
  <w:num w:numId="10">
    <w:abstractNumId w:val="2"/>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e Gibbons">
    <w15:presenceInfo w15:providerId="AD" w15:userId="S-1-5-21-3212563498-25458345-675994490-1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
  <w:rsids>
    <w:rsidRoot w:val="0073256E"/>
    <w:rsid w:val="00010DE1"/>
    <w:rsid w:val="00016AE9"/>
    <w:rsid w:val="000220FE"/>
    <w:rsid w:val="000252E4"/>
    <w:rsid w:val="000322B9"/>
    <w:rsid w:val="0005145F"/>
    <w:rsid w:val="00056BB5"/>
    <w:rsid w:val="000579A6"/>
    <w:rsid w:val="00065A22"/>
    <w:rsid w:val="00091744"/>
    <w:rsid w:val="0009221F"/>
    <w:rsid w:val="00094BEB"/>
    <w:rsid w:val="000A1DCE"/>
    <w:rsid w:val="000A22B2"/>
    <w:rsid w:val="000A75E5"/>
    <w:rsid w:val="000B3486"/>
    <w:rsid w:val="000C2482"/>
    <w:rsid w:val="000C57BB"/>
    <w:rsid w:val="000D78B3"/>
    <w:rsid w:val="000E365F"/>
    <w:rsid w:val="000E5869"/>
    <w:rsid w:val="00115F7F"/>
    <w:rsid w:val="00123184"/>
    <w:rsid w:val="00134489"/>
    <w:rsid w:val="001365C9"/>
    <w:rsid w:val="00162601"/>
    <w:rsid w:val="001735FD"/>
    <w:rsid w:val="00182FDF"/>
    <w:rsid w:val="00185FE2"/>
    <w:rsid w:val="001A1B3B"/>
    <w:rsid w:val="001B0580"/>
    <w:rsid w:val="001B52ED"/>
    <w:rsid w:val="001E6F52"/>
    <w:rsid w:val="0023269B"/>
    <w:rsid w:val="00233C58"/>
    <w:rsid w:val="0023765E"/>
    <w:rsid w:val="0024167F"/>
    <w:rsid w:val="00244EAC"/>
    <w:rsid w:val="00252479"/>
    <w:rsid w:val="0025536B"/>
    <w:rsid w:val="0026494A"/>
    <w:rsid w:val="00265FDB"/>
    <w:rsid w:val="00272737"/>
    <w:rsid w:val="00273CC0"/>
    <w:rsid w:val="00280DCB"/>
    <w:rsid w:val="00295383"/>
    <w:rsid w:val="002A0D4A"/>
    <w:rsid w:val="002A299F"/>
    <w:rsid w:val="002A716D"/>
    <w:rsid w:val="002A77E0"/>
    <w:rsid w:val="002B4046"/>
    <w:rsid w:val="002B45F9"/>
    <w:rsid w:val="002B6E22"/>
    <w:rsid w:val="002D378E"/>
    <w:rsid w:val="002D49ED"/>
    <w:rsid w:val="002E6DD3"/>
    <w:rsid w:val="003502F4"/>
    <w:rsid w:val="00353435"/>
    <w:rsid w:val="003614A4"/>
    <w:rsid w:val="00370788"/>
    <w:rsid w:val="00375DA9"/>
    <w:rsid w:val="003762C8"/>
    <w:rsid w:val="003844DF"/>
    <w:rsid w:val="00384AFC"/>
    <w:rsid w:val="003870AC"/>
    <w:rsid w:val="00391416"/>
    <w:rsid w:val="0039717C"/>
    <w:rsid w:val="003A0E42"/>
    <w:rsid w:val="003A7685"/>
    <w:rsid w:val="003A7F6F"/>
    <w:rsid w:val="003B7EEB"/>
    <w:rsid w:val="003C0392"/>
    <w:rsid w:val="003C0C4A"/>
    <w:rsid w:val="003D3C26"/>
    <w:rsid w:val="003E5EF4"/>
    <w:rsid w:val="003F4EE3"/>
    <w:rsid w:val="004129A6"/>
    <w:rsid w:val="00424D18"/>
    <w:rsid w:val="00440E7D"/>
    <w:rsid w:val="00456A53"/>
    <w:rsid w:val="00457DD9"/>
    <w:rsid w:val="0046028E"/>
    <w:rsid w:val="004603B6"/>
    <w:rsid w:val="00460B01"/>
    <w:rsid w:val="00464C37"/>
    <w:rsid w:val="0046799A"/>
    <w:rsid w:val="00481F30"/>
    <w:rsid w:val="00482C85"/>
    <w:rsid w:val="00484493"/>
    <w:rsid w:val="004846B8"/>
    <w:rsid w:val="004914BF"/>
    <w:rsid w:val="00494847"/>
    <w:rsid w:val="004A1ABF"/>
    <w:rsid w:val="004A54A1"/>
    <w:rsid w:val="004B2829"/>
    <w:rsid w:val="004B3E58"/>
    <w:rsid w:val="004B43EF"/>
    <w:rsid w:val="004C1E70"/>
    <w:rsid w:val="004C59B8"/>
    <w:rsid w:val="004E7E4C"/>
    <w:rsid w:val="004F3DD1"/>
    <w:rsid w:val="00525572"/>
    <w:rsid w:val="00527A5C"/>
    <w:rsid w:val="005303AD"/>
    <w:rsid w:val="00542625"/>
    <w:rsid w:val="00554314"/>
    <w:rsid w:val="005544E4"/>
    <w:rsid w:val="005565B8"/>
    <w:rsid w:val="005744B2"/>
    <w:rsid w:val="00577B84"/>
    <w:rsid w:val="00585E38"/>
    <w:rsid w:val="00590A1B"/>
    <w:rsid w:val="00595420"/>
    <w:rsid w:val="00596225"/>
    <w:rsid w:val="005A6802"/>
    <w:rsid w:val="005B170F"/>
    <w:rsid w:val="005C5A05"/>
    <w:rsid w:val="005E3ECB"/>
    <w:rsid w:val="005F0775"/>
    <w:rsid w:val="00615D28"/>
    <w:rsid w:val="00631352"/>
    <w:rsid w:val="006347A7"/>
    <w:rsid w:val="00645542"/>
    <w:rsid w:val="0064743C"/>
    <w:rsid w:val="00651EB9"/>
    <w:rsid w:val="0066052B"/>
    <w:rsid w:val="00680297"/>
    <w:rsid w:val="00693B4D"/>
    <w:rsid w:val="006B0BEA"/>
    <w:rsid w:val="006B3B56"/>
    <w:rsid w:val="006C0F23"/>
    <w:rsid w:val="006E297D"/>
    <w:rsid w:val="006F2F3A"/>
    <w:rsid w:val="006F7E01"/>
    <w:rsid w:val="00700DB9"/>
    <w:rsid w:val="00701D18"/>
    <w:rsid w:val="00712394"/>
    <w:rsid w:val="0073256E"/>
    <w:rsid w:val="00736923"/>
    <w:rsid w:val="00751466"/>
    <w:rsid w:val="0077495E"/>
    <w:rsid w:val="0078615C"/>
    <w:rsid w:val="00787B63"/>
    <w:rsid w:val="00796DDD"/>
    <w:rsid w:val="007A7820"/>
    <w:rsid w:val="007B1C53"/>
    <w:rsid w:val="007B237B"/>
    <w:rsid w:val="007B5E6B"/>
    <w:rsid w:val="007D064E"/>
    <w:rsid w:val="007E3F60"/>
    <w:rsid w:val="007E45CE"/>
    <w:rsid w:val="007E771E"/>
    <w:rsid w:val="007F0268"/>
    <w:rsid w:val="007F709C"/>
    <w:rsid w:val="007F7460"/>
    <w:rsid w:val="00804992"/>
    <w:rsid w:val="008231B1"/>
    <w:rsid w:val="008241FF"/>
    <w:rsid w:val="00826533"/>
    <w:rsid w:val="008309FD"/>
    <w:rsid w:val="00847F48"/>
    <w:rsid w:val="00850766"/>
    <w:rsid w:val="00851129"/>
    <w:rsid w:val="00854731"/>
    <w:rsid w:val="00883152"/>
    <w:rsid w:val="00884B80"/>
    <w:rsid w:val="00892B08"/>
    <w:rsid w:val="00895BEF"/>
    <w:rsid w:val="008A3D4B"/>
    <w:rsid w:val="008A4BD4"/>
    <w:rsid w:val="008C5CA9"/>
    <w:rsid w:val="008E21A8"/>
    <w:rsid w:val="008E6BB3"/>
    <w:rsid w:val="008F4A87"/>
    <w:rsid w:val="008F561F"/>
    <w:rsid w:val="00911396"/>
    <w:rsid w:val="00925576"/>
    <w:rsid w:val="00940939"/>
    <w:rsid w:val="00940F89"/>
    <w:rsid w:val="00944506"/>
    <w:rsid w:val="00945668"/>
    <w:rsid w:val="0094681C"/>
    <w:rsid w:val="00952EF2"/>
    <w:rsid w:val="0096538A"/>
    <w:rsid w:val="00967DC4"/>
    <w:rsid w:val="00972064"/>
    <w:rsid w:val="009811CE"/>
    <w:rsid w:val="00987263"/>
    <w:rsid w:val="009A08FA"/>
    <w:rsid w:val="009A16D1"/>
    <w:rsid w:val="009B701A"/>
    <w:rsid w:val="009C1334"/>
    <w:rsid w:val="009D2FD2"/>
    <w:rsid w:val="009D3C7B"/>
    <w:rsid w:val="009D7C40"/>
    <w:rsid w:val="009E4D0D"/>
    <w:rsid w:val="009E5127"/>
    <w:rsid w:val="009F1469"/>
    <w:rsid w:val="00A27D4A"/>
    <w:rsid w:val="00A6484A"/>
    <w:rsid w:val="00A64A5E"/>
    <w:rsid w:val="00A65900"/>
    <w:rsid w:val="00A65D6D"/>
    <w:rsid w:val="00A774B2"/>
    <w:rsid w:val="00A8152C"/>
    <w:rsid w:val="00AA3A00"/>
    <w:rsid w:val="00AB0A9C"/>
    <w:rsid w:val="00AB3800"/>
    <w:rsid w:val="00AC376B"/>
    <w:rsid w:val="00AC6206"/>
    <w:rsid w:val="00AC740F"/>
    <w:rsid w:val="00AD43C5"/>
    <w:rsid w:val="00AF357E"/>
    <w:rsid w:val="00AF55C0"/>
    <w:rsid w:val="00AF7CAC"/>
    <w:rsid w:val="00B11E90"/>
    <w:rsid w:val="00B140DC"/>
    <w:rsid w:val="00B1738F"/>
    <w:rsid w:val="00B22120"/>
    <w:rsid w:val="00B25A01"/>
    <w:rsid w:val="00B31FCE"/>
    <w:rsid w:val="00B337FE"/>
    <w:rsid w:val="00B43D6A"/>
    <w:rsid w:val="00B47841"/>
    <w:rsid w:val="00B5181E"/>
    <w:rsid w:val="00B6002C"/>
    <w:rsid w:val="00B61908"/>
    <w:rsid w:val="00B61FB8"/>
    <w:rsid w:val="00B63A50"/>
    <w:rsid w:val="00B6662C"/>
    <w:rsid w:val="00B92942"/>
    <w:rsid w:val="00BB02F4"/>
    <w:rsid w:val="00BB78BA"/>
    <w:rsid w:val="00BC2566"/>
    <w:rsid w:val="00BC6B56"/>
    <w:rsid w:val="00BC742C"/>
    <w:rsid w:val="00BE63DF"/>
    <w:rsid w:val="00BF0B43"/>
    <w:rsid w:val="00C03464"/>
    <w:rsid w:val="00C10E13"/>
    <w:rsid w:val="00C14A0E"/>
    <w:rsid w:val="00C14A3B"/>
    <w:rsid w:val="00C155B8"/>
    <w:rsid w:val="00C37D60"/>
    <w:rsid w:val="00C464C6"/>
    <w:rsid w:val="00C51C1F"/>
    <w:rsid w:val="00C55A89"/>
    <w:rsid w:val="00C635BD"/>
    <w:rsid w:val="00C65D10"/>
    <w:rsid w:val="00C70191"/>
    <w:rsid w:val="00C82E2F"/>
    <w:rsid w:val="00C877B0"/>
    <w:rsid w:val="00C94E57"/>
    <w:rsid w:val="00CB1F9C"/>
    <w:rsid w:val="00CC0E84"/>
    <w:rsid w:val="00CD030F"/>
    <w:rsid w:val="00CD1EBF"/>
    <w:rsid w:val="00CE58F0"/>
    <w:rsid w:val="00CF0E60"/>
    <w:rsid w:val="00CF76AC"/>
    <w:rsid w:val="00D02CCB"/>
    <w:rsid w:val="00D100D3"/>
    <w:rsid w:val="00D103F4"/>
    <w:rsid w:val="00D21471"/>
    <w:rsid w:val="00D22F2E"/>
    <w:rsid w:val="00D27F73"/>
    <w:rsid w:val="00D3397A"/>
    <w:rsid w:val="00D36531"/>
    <w:rsid w:val="00D43EA0"/>
    <w:rsid w:val="00D450DA"/>
    <w:rsid w:val="00D56A89"/>
    <w:rsid w:val="00D905DE"/>
    <w:rsid w:val="00DA36EA"/>
    <w:rsid w:val="00DA3714"/>
    <w:rsid w:val="00DA6B46"/>
    <w:rsid w:val="00DA7CB0"/>
    <w:rsid w:val="00DD13A4"/>
    <w:rsid w:val="00DE4AEB"/>
    <w:rsid w:val="00DF253E"/>
    <w:rsid w:val="00E24A43"/>
    <w:rsid w:val="00E2500C"/>
    <w:rsid w:val="00E31364"/>
    <w:rsid w:val="00E34585"/>
    <w:rsid w:val="00E422F1"/>
    <w:rsid w:val="00E50714"/>
    <w:rsid w:val="00E515CA"/>
    <w:rsid w:val="00E535F0"/>
    <w:rsid w:val="00E60937"/>
    <w:rsid w:val="00E6392E"/>
    <w:rsid w:val="00E803E1"/>
    <w:rsid w:val="00E807CA"/>
    <w:rsid w:val="00E86878"/>
    <w:rsid w:val="00EA18B1"/>
    <w:rsid w:val="00EA4D60"/>
    <w:rsid w:val="00EC441B"/>
    <w:rsid w:val="00EC4665"/>
    <w:rsid w:val="00ED0975"/>
    <w:rsid w:val="00ED1E05"/>
    <w:rsid w:val="00ED4B9D"/>
    <w:rsid w:val="00EE098F"/>
    <w:rsid w:val="00EE4CD4"/>
    <w:rsid w:val="00EF4274"/>
    <w:rsid w:val="00F03463"/>
    <w:rsid w:val="00F04A7A"/>
    <w:rsid w:val="00F45922"/>
    <w:rsid w:val="00F53C4D"/>
    <w:rsid w:val="00F56CA2"/>
    <w:rsid w:val="00F61F43"/>
    <w:rsid w:val="00F72543"/>
    <w:rsid w:val="00F729B1"/>
    <w:rsid w:val="00F73F70"/>
    <w:rsid w:val="00F74CED"/>
    <w:rsid w:val="00F77D88"/>
    <w:rsid w:val="00F80ADE"/>
    <w:rsid w:val="00F87C74"/>
    <w:rsid w:val="00F90807"/>
    <w:rsid w:val="00F912A1"/>
    <w:rsid w:val="00F9200C"/>
    <w:rsid w:val="00FA1A79"/>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rPr>
  </w:style>
  <w:style w:type="character" w:customStyle="1" w:styleId="EndnoteTextChar">
    <w:name w:val="Endnote Text Char"/>
    <w:basedOn w:val="DefaultParagraphFont"/>
    <w:link w:val="EndnoteText"/>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benton@tsclhq.org" TargetMode="External"/><Relationship Id="rId3" Type="http://schemas.openxmlformats.org/officeDocument/2006/relationships/settings" Target="settings.xml"/><Relationship Id="rId42" Type="http://schemas.microsoft.com/office/2011/relationships/people" Target="people.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2017-06-23T17:40:00Z</cp:lastPrinted>
  <dcterms:created xsi:type="dcterms:W3CDTF">2017-06-28T00:38:00Z</dcterms:created>
  <dcterms:modified xsi:type="dcterms:W3CDTF">2017-06-28T00:38:00Z</dcterms:modified>
</cp:coreProperties>
</file>