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rPr>
          <w:rFonts w:ascii="Arial" w:hAnsi="Arial"/>
          <w:lang w:val="en-US"/>
        </w:rPr>
      </w:pPr>
    </w:p>
    <w:p>
      <w:pPr>
        <w:pStyle w:val="Body A"/>
        <w:rPr>
          <w:rFonts w:ascii="Arial" w:cs="Arial" w:hAnsi="Arial" w:eastAsia="Arial"/>
          <w:sz w:val="20"/>
          <w:szCs w:val="20"/>
          <w:lang w:val="en-US"/>
        </w:rPr>
      </w:pPr>
      <w:r>
        <w:rPr>
          <w:rFonts w:ascii="Arial" w:hAnsi="Arial"/>
          <w:sz w:val="20"/>
          <w:szCs w:val="20"/>
          <w:rtl w:val="0"/>
          <w:lang w:val="en-US"/>
        </w:rPr>
        <w:t>Press Release</w:t>
        <w:tab/>
        <w:tab/>
        <w:tab/>
        <w:tab/>
        <w:tab/>
        <w:tab/>
        <w:tab/>
        <w:tab/>
        <w:t xml:space="preserve">                                         Contacts:  For Immediate Release</w:t>
        <w:tab/>
        <w:tab/>
        <w:tab/>
        <w:tab/>
        <w:tab/>
        <w:tab/>
        <w:t xml:space="preserve">                                     Vinitaly International</w:t>
      </w:r>
    </w:p>
    <w:p>
      <w:pPr>
        <w:pStyle w:val="Body A"/>
        <w:jc w:val="right"/>
        <w:rPr>
          <w:rFonts w:ascii="Arial" w:cs="Arial" w:hAnsi="Arial" w:eastAsia="Arial"/>
          <w:sz w:val="20"/>
          <w:szCs w:val="20"/>
          <w:lang w:val="en-US"/>
        </w:rPr>
      </w:pPr>
      <w:r>
        <w:rPr>
          <w:rFonts w:ascii="Arial" w:hAnsi="Arial"/>
          <w:sz w:val="20"/>
          <w:szCs w:val="20"/>
          <w:rtl w:val="0"/>
          <w:lang w:val="en-US"/>
        </w:rPr>
        <w:t xml:space="preserve">International Media Dept.                                                                                                                                 </w:t>
      </w:r>
    </w:p>
    <w:p>
      <w:pPr>
        <w:pStyle w:val="Body A"/>
        <w:jc w:val="right"/>
        <w:rPr>
          <w:rFonts w:ascii="Arial" w:cs="Arial" w:hAnsi="Arial" w:eastAsia="Arial"/>
          <w:sz w:val="20"/>
          <w:szCs w:val="20"/>
          <w:lang w:val="en-US"/>
        </w:rPr>
      </w:pPr>
      <w:r>
        <w:rPr>
          <w:rFonts w:ascii="Arial" w:hAnsi="Arial"/>
          <w:sz w:val="20"/>
          <w:szCs w:val="20"/>
          <w:rtl w:val="0"/>
          <w:lang w:val="en-US"/>
        </w:rPr>
        <w:t>+39 045 8101447</w:t>
      </w:r>
    </w:p>
    <w:p>
      <w:pPr>
        <w:pStyle w:val="Body A"/>
        <w:jc w:val="right"/>
        <w:rPr>
          <w:rStyle w:val="None"/>
          <w:rFonts w:ascii="Arial" w:cs="Arial" w:hAnsi="Arial" w:eastAsia="Arial"/>
          <w:sz w:val="20"/>
          <w:szCs w:val="20"/>
          <w:lang w:val="en-US"/>
        </w:rPr>
      </w:pPr>
      <w:r>
        <w:rPr>
          <w:rStyle w:val="Hyperlink.0"/>
          <w:rFonts w:ascii="Arial" w:cs="Arial" w:hAnsi="Arial" w:eastAsia="Arial"/>
          <w:color w:val="0432fe"/>
          <w:sz w:val="20"/>
          <w:szCs w:val="20"/>
          <w:u w:val="single" w:color="0432fe"/>
          <w:lang w:val="en-US"/>
        </w:rPr>
        <w:fldChar w:fldCharType="begin" w:fldLock="0"/>
      </w:r>
      <w:r>
        <w:rPr>
          <w:rStyle w:val="Hyperlink.0"/>
          <w:rFonts w:ascii="Arial" w:cs="Arial" w:hAnsi="Arial" w:eastAsia="Arial"/>
          <w:color w:val="0432fe"/>
          <w:sz w:val="20"/>
          <w:szCs w:val="20"/>
          <w:u w:val="single" w:color="0432fe"/>
          <w:lang w:val="en-US"/>
        </w:rPr>
        <w:instrText xml:space="preserve"> HYPERLINK "mailto:media@vinitalytour.com"</w:instrText>
      </w:r>
      <w:r>
        <w:rPr>
          <w:rStyle w:val="Hyperlink.0"/>
          <w:rFonts w:ascii="Arial" w:cs="Arial" w:hAnsi="Arial" w:eastAsia="Arial"/>
          <w:color w:val="0432fe"/>
          <w:sz w:val="20"/>
          <w:szCs w:val="20"/>
          <w:u w:val="single" w:color="0432fe"/>
          <w:lang w:val="en-US"/>
        </w:rPr>
        <w:fldChar w:fldCharType="separate" w:fldLock="0"/>
      </w:r>
      <w:r>
        <w:rPr>
          <w:rStyle w:val="Hyperlink.0"/>
          <w:rFonts w:ascii="Arial" w:hAnsi="Arial"/>
          <w:color w:val="0432fe"/>
          <w:sz w:val="20"/>
          <w:szCs w:val="20"/>
          <w:u w:val="single" w:color="0432fe"/>
          <w:rtl w:val="0"/>
          <w:lang w:val="en-US"/>
        </w:rPr>
        <w:t>media@vinitalytour.com</w:t>
      </w:r>
      <w:r>
        <w:rPr>
          <w:lang w:val="en-US"/>
        </w:rPr>
        <w:fldChar w:fldCharType="end" w:fldLock="0"/>
      </w:r>
      <w:r>
        <w:rPr>
          <w:rStyle w:val="None"/>
          <w:rFonts w:ascii="Arial" w:hAnsi="Arial"/>
          <w:sz w:val="20"/>
          <w:szCs w:val="20"/>
          <w:rtl w:val="0"/>
          <w:lang w:val="en-US"/>
        </w:rPr>
        <w:t xml:space="preserve">                                                                                                                                                                 </w:t>
      </w:r>
    </w:p>
    <w:p>
      <w:pPr>
        <w:pStyle w:val="Body A"/>
        <w:jc w:val="right"/>
        <w:rPr>
          <w:rStyle w:val="None"/>
          <w:rFonts w:ascii="Arial" w:cs="Arial" w:hAnsi="Arial" w:eastAsia="Arial"/>
          <w:sz w:val="20"/>
          <w:szCs w:val="20"/>
          <w:lang w:val="en-US"/>
        </w:rPr>
      </w:pPr>
      <w:r>
        <w:rPr>
          <w:rStyle w:val="Hyperlink.0"/>
          <w:rFonts w:ascii="Arial" w:cs="Arial" w:hAnsi="Arial" w:eastAsia="Arial"/>
          <w:color w:val="0432fe"/>
          <w:sz w:val="20"/>
          <w:szCs w:val="20"/>
          <w:u w:val="single" w:color="0432fe"/>
          <w:lang w:val="en-US"/>
        </w:rPr>
        <w:fldChar w:fldCharType="begin" w:fldLock="0"/>
      </w:r>
      <w:r>
        <w:rPr>
          <w:rStyle w:val="Hyperlink.0"/>
          <w:rFonts w:ascii="Arial" w:cs="Arial" w:hAnsi="Arial" w:eastAsia="Arial"/>
          <w:color w:val="0432fe"/>
          <w:sz w:val="20"/>
          <w:szCs w:val="20"/>
          <w:u w:val="single" w:color="0432fe"/>
          <w:lang w:val="en-US"/>
        </w:rPr>
        <w:instrText xml:space="preserve"> HYPERLINK "http://www.vinitalyinternational.com"</w:instrText>
      </w:r>
      <w:r>
        <w:rPr>
          <w:rStyle w:val="Hyperlink.0"/>
          <w:rFonts w:ascii="Arial" w:cs="Arial" w:hAnsi="Arial" w:eastAsia="Arial"/>
          <w:color w:val="0432fe"/>
          <w:sz w:val="20"/>
          <w:szCs w:val="20"/>
          <w:u w:val="single" w:color="0432fe"/>
          <w:lang w:val="en-US"/>
        </w:rPr>
        <w:fldChar w:fldCharType="separate" w:fldLock="0"/>
      </w:r>
      <w:r>
        <w:rPr>
          <w:rStyle w:val="Hyperlink.0"/>
          <w:rFonts w:ascii="Arial" w:hAnsi="Arial"/>
          <w:color w:val="0432fe"/>
          <w:sz w:val="20"/>
          <w:szCs w:val="20"/>
          <w:u w:val="single" w:color="0432fe"/>
          <w:rtl w:val="0"/>
          <w:lang w:val="en-US"/>
        </w:rPr>
        <w:t>www.vinitalyinternational.com</w:t>
      </w:r>
      <w:r>
        <w:rPr>
          <w:lang w:val="en-US"/>
        </w:rPr>
        <w:fldChar w:fldCharType="end" w:fldLock="0"/>
      </w:r>
    </w:p>
    <w:p>
      <w:pPr>
        <w:pStyle w:val="Body A"/>
        <w:jc w:val="right"/>
        <w:rPr>
          <w:rStyle w:val="None"/>
          <w:rFonts w:ascii="Arial" w:cs="Arial" w:hAnsi="Arial" w:eastAsia="Arial"/>
          <w:sz w:val="20"/>
          <w:szCs w:val="20"/>
          <w:lang w:val="en-US"/>
        </w:rPr>
      </w:pPr>
      <w:r>
        <w:rPr>
          <w:rStyle w:val="None"/>
          <w:rFonts w:ascii="Arial" w:hAnsi="Arial"/>
          <w:sz w:val="20"/>
          <w:szCs w:val="20"/>
          <w:rtl w:val="0"/>
          <w:lang w:val="en-US"/>
        </w:rPr>
        <w:t>Twitter: @VinitalyTour</w:t>
      </w:r>
    </w:p>
    <w:p>
      <w:pPr>
        <w:pStyle w:val="Body A"/>
        <w:jc w:val="right"/>
        <w:rPr>
          <w:rStyle w:val="None"/>
          <w:rFonts w:ascii="Arial" w:cs="Arial" w:hAnsi="Arial" w:eastAsia="Arial"/>
          <w:sz w:val="20"/>
          <w:szCs w:val="20"/>
          <w:lang w:val="en-US"/>
        </w:rPr>
      </w:pPr>
      <w:r>
        <w:rPr>
          <w:rStyle w:val="None"/>
          <w:rFonts w:ascii="Arial" w:hAnsi="Arial"/>
          <w:sz w:val="20"/>
          <w:szCs w:val="20"/>
          <w:rtl w:val="0"/>
          <w:lang w:val="en-US"/>
        </w:rPr>
        <w:t>Join Italian Wine Community on LinkedIn</w:t>
      </w:r>
    </w:p>
    <w:p>
      <w:pPr>
        <w:pStyle w:val="Body A"/>
        <w:rPr>
          <w:rStyle w:val="None"/>
          <w:rFonts w:ascii="Arial" w:cs="Arial" w:hAnsi="Arial" w:eastAsia="Arial"/>
          <w:lang w:val="en-US"/>
        </w:rPr>
      </w:pPr>
    </w:p>
    <w:p>
      <w:pPr>
        <w:pStyle w:val="Body A"/>
        <w:rPr>
          <w:rStyle w:val="None"/>
          <w:rFonts w:ascii="Arial" w:cs="Arial" w:hAnsi="Arial" w:eastAsia="Arial"/>
          <w:lang w:val="en-US"/>
        </w:rPr>
      </w:pPr>
      <w:r>
        <w:rPr>
          <w:rStyle w:val="None"/>
          <w:rFonts w:ascii="Arial" w:hAnsi="Arial"/>
          <w:color w:val="651365"/>
          <w:u w:val="single" w:color="651365"/>
          <w:rtl w:val="0"/>
          <w:lang w:val="en-US"/>
        </w:rPr>
        <w:t xml:space="preserve">                                                                   </w:t>
      </w:r>
    </w:p>
    <w:p>
      <w:pPr>
        <w:pStyle w:val="Default"/>
        <w:rPr>
          <w:rStyle w:val="None"/>
          <w:rFonts w:ascii="Arial" w:cs="Arial" w:hAnsi="Arial" w:eastAsia="Arial"/>
          <w:b w:val="1"/>
          <w:bCs w:val="1"/>
          <w:sz w:val="24"/>
          <w:szCs w:val="24"/>
          <w:lang w:val="en-US"/>
        </w:rPr>
      </w:pPr>
    </w:p>
    <w:p>
      <w:pPr>
        <w:pStyle w:val="Default"/>
        <w:rPr>
          <w:rStyle w:val="None"/>
          <w:rFonts w:ascii="Times New Roman" w:cs="Times New Roman" w:hAnsi="Times New Roman" w:eastAsia="Times New Roman"/>
          <w:sz w:val="24"/>
          <w:szCs w:val="24"/>
          <w:lang w:val="en-US"/>
        </w:rPr>
      </w:pPr>
      <w:r>
        <w:rPr>
          <w:rStyle w:val="None"/>
          <w:rFonts w:ascii="Times New Roman" w:hAnsi="Times New Roman"/>
          <w:b w:val="1"/>
          <w:bCs w:val="1"/>
          <w:sz w:val="36"/>
          <w:szCs w:val="36"/>
          <w:rtl w:val="0"/>
          <w:lang w:val="en-US"/>
        </w:rPr>
        <w:t>Vinitaly International and Ningxia Wine Bureau commit to further strengthening wine education and promotional initiatives in China</w:t>
      </w:r>
      <w:r>
        <w:rPr>
          <w:rStyle w:val="None"/>
          <w:rFonts w:ascii="Arial Unicode MS" w:cs="Arial Unicode MS" w:hAnsi="Arial Unicode MS" w:eastAsia="Arial Unicode MS"/>
          <w:sz w:val="36"/>
          <w:szCs w:val="36"/>
          <w:lang w:val="en-US"/>
        </w:rPr>
        <w:br w:type="textWrapping"/>
      </w:r>
    </w:p>
    <w:p>
      <w:pPr>
        <w:pStyle w:val="Default"/>
        <w:jc w:val="both"/>
        <w:rPr>
          <w:rStyle w:val="None"/>
          <w:rFonts w:ascii="Times New Roman" w:cs="Times New Roman" w:hAnsi="Times New Roman" w:eastAsia="Times New Roman"/>
          <w:sz w:val="24"/>
          <w:szCs w:val="24"/>
          <w:lang w:val="en-US"/>
        </w:rPr>
      </w:pPr>
    </w:p>
    <w:p>
      <w:pPr>
        <w:pStyle w:val="Default"/>
        <w:jc w:val="both"/>
        <w:rPr>
          <w:rStyle w:val="None"/>
          <w:rFonts w:ascii="Times New Roman" w:cs="Times New Roman" w:hAnsi="Times New Roman" w:eastAsia="Times New Roman"/>
          <w:sz w:val="28"/>
          <w:szCs w:val="28"/>
          <w:lang w:val="en-US"/>
        </w:rPr>
      </w:pPr>
      <w:r>
        <w:rPr>
          <w:rStyle w:val="None"/>
          <w:rFonts w:ascii="Times New Roman" w:hAnsi="Times New Roman"/>
          <w:sz w:val="28"/>
          <w:szCs w:val="28"/>
          <w:rtl w:val="0"/>
          <w:lang w:val="en-US"/>
        </w:rPr>
        <w:t xml:space="preserve">Vinitaly International and Ningxia Wine Bureau, the fastest growing wine region in central China, have agreed to join forces with the aim of delivering high quality Italian wines to China and rolling out educational courses on Italian wine. In June, Vinitaly International welcomed delegates from Ningxia Wine Bureau at its headquarters Wine2Digital in Verona, Italy and facilitated meetings with VeronaFiere and various wineries around the area. </w:t>
      </w:r>
    </w:p>
    <w:p>
      <w:pPr>
        <w:pStyle w:val="Default"/>
        <w:jc w:val="both"/>
        <w:rPr>
          <w:rStyle w:val="None"/>
          <w:rFonts w:ascii="Times New Roman" w:cs="Times New Roman" w:hAnsi="Times New Roman" w:eastAsia="Times New Roman"/>
          <w:sz w:val="28"/>
          <w:szCs w:val="28"/>
          <w:lang w:val="en-US"/>
        </w:rPr>
      </w:pPr>
      <w:r>
        <w:rPr>
          <w:rStyle w:val="None"/>
          <w:rFonts w:ascii="Arial Unicode MS" w:cs="Arial Unicode MS" w:hAnsi="Arial Unicode MS" w:eastAsia="Arial Unicode MS"/>
          <w:sz w:val="28"/>
          <w:szCs w:val="28"/>
          <w:lang w:val="en-US"/>
        </w:rPr>
        <w:br w:type="textWrapping"/>
      </w:r>
      <w:r>
        <w:rPr>
          <w:rStyle w:val="None"/>
          <w:rFonts w:ascii="Times New Roman" w:hAnsi="Times New Roman"/>
          <w:sz w:val="28"/>
          <w:szCs w:val="28"/>
          <w:rtl w:val="0"/>
          <w:lang w:val="en-US"/>
        </w:rPr>
        <w:t>S</w:t>
      </w:r>
      <w:r>
        <w:rPr>
          <w:rStyle w:val="None"/>
          <w:rFonts w:ascii="Times New Roman" w:hAnsi="Times New Roman"/>
          <w:sz w:val="28"/>
          <w:szCs w:val="28"/>
          <w:shd w:val="clear" w:color="auto" w:fill="ffffff"/>
          <w:rtl w:val="0"/>
          <w:lang w:val="en-US"/>
        </w:rPr>
        <w:t xml:space="preserve">ituated 1000km west of Beijing right beside the Gobi desert in central China, Ningxia is a wine region progressively gaining international reputation as the </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Bordeaux region of China.</w:t>
      </w:r>
      <w:r>
        <w:rPr>
          <w:rStyle w:val="None"/>
          <w:rFonts w:ascii="Times New Roman" w:hAnsi="Times New Roman" w:hint="default"/>
          <w:sz w:val="28"/>
          <w:szCs w:val="28"/>
          <w:shd w:val="clear" w:color="auto" w:fill="ffffff"/>
          <w:rtl w:val="0"/>
          <w:lang w:val="en-US"/>
        </w:rPr>
        <w:t xml:space="preserve">” </w:t>
      </w:r>
      <w:r>
        <w:rPr>
          <w:rStyle w:val="None"/>
          <w:rFonts w:ascii="Times New Roman" w:hAnsi="Times New Roman"/>
          <w:sz w:val="28"/>
          <w:szCs w:val="28"/>
          <w:shd w:val="clear" w:color="auto" w:fill="ffffff"/>
          <w:rtl w:val="0"/>
          <w:lang w:val="en-US"/>
        </w:rPr>
        <w:t xml:space="preserve">As a matter of fact, in recent blind wine-tasting competitions, Ningxia wines have done even better than Bordeaux wines in the same price bracket. In the past 7 years, the region has experienced rapid development in wine making </w:t>
      </w:r>
      <w:r>
        <w:rPr>
          <w:rStyle w:val="None"/>
          <w:rFonts w:ascii="Times New Roman" w:hAnsi="Times New Roman"/>
          <w:sz w:val="28"/>
          <w:szCs w:val="28"/>
          <w:rtl w:val="0"/>
          <w:lang w:val="en-US"/>
        </w:rPr>
        <w:t xml:space="preserve">and the numbers of wineries have soared from 20 to 80. </w:t>
      </w:r>
    </w:p>
    <w:p>
      <w:pPr>
        <w:pStyle w:val="Default"/>
        <w:jc w:val="both"/>
        <w:rPr>
          <w:rStyle w:val="None"/>
          <w:rFonts w:ascii="Times New Roman" w:cs="Times New Roman" w:hAnsi="Times New Roman" w:eastAsia="Times New Roman"/>
          <w:sz w:val="28"/>
          <w:szCs w:val="28"/>
          <w:shd w:val="clear" w:color="auto" w:fill="ffffff"/>
          <w:lang w:val="en-US"/>
        </w:rPr>
      </w:pPr>
    </w:p>
    <w:p>
      <w:pPr>
        <w:pStyle w:val="Default"/>
        <w:jc w:val="both"/>
        <w:rPr>
          <w:rStyle w:val="None"/>
          <w:rFonts w:ascii="Times New Roman" w:cs="Times New Roman" w:hAnsi="Times New Roman" w:eastAsia="Times New Roman"/>
          <w:sz w:val="28"/>
          <w:szCs w:val="28"/>
          <w:shd w:val="clear" w:color="auto" w:fill="ffffff"/>
          <w:lang w:val="en-US"/>
        </w:rPr>
      </w:pPr>
      <w:r>
        <w:rPr>
          <w:rStyle w:val="None"/>
          <w:rFonts w:ascii="Times New Roman" w:hAnsi="Times New Roman"/>
          <w:sz w:val="28"/>
          <w:szCs w:val="28"/>
          <w:shd w:val="clear" w:color="auto" w:fill="ffffff"/>
          <w:rtl w:val="0"/>
          <w:lang w:val="en-US"/>
        </w:rPr>
        <w:t xml:space="preserve">Last December, </w:t>
      </w:r>
      <w:r>
        <w:rPr>
          <w:rStyle w:val="None"/>
          <w:rFonts w:ascii="Times New Roman" w:hAnsi="Times New Roman"/>
          <w:sz w:val="28"/>
          <w:szCs w:val="28"/>
          <w:rtl w:val="0"/>
          <w:lang w:val="en-US"/>
        </w:rPr>
        <w:t>Stevie Kim Managing Director of Vinitaly International visited Ningxia and 8 wineries. Since then, the relationship has increasingly become important for both sides. During Vinitaly 2017, Vinitaly International facilitated a first time ever masterclass on Ningxia wines held by Dr. Ian</w:t>
      </w:r>
      <w:r>
        <w:rPr>
          <w:rStyle w:val="None"/>
          <w:rFonts w:ascii="Times New Roman" w:hAnsi="Times New Roman"/>
          <w:sz w:val="28"/>
          <w:szCs w:val="28"/>
          <w:shd w:val="clear" w:color="auto" w:fill="ffffff"/>
          <w:rtl w:val="0"/>
          <w:lang w:val="en-US"/>
        </w:rPr>
        <w:t xml:space="preserve"> D</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Agata, Scientific Director of Vinitaly International Academy (VIA) and Jinglin Zhang, a VIA certified Italian Wine Expert. Showcasing the diversity and potential of the region</w:t>
      </w:r>
      <w:r>
        <w:rPr>
          <w:rStyle w:val="None"/>
          <w:rFonts w:ascii="Times New Roman" w:hAnsi="Times New Roman" w:hint="default"/>
          <w:sz w:val="28"/>
          <w:szCs w:val="28"/>
          <w:shd w:val="clear" w:color="auto" w:fill="ffffff"/>
          <w:rtl w:val="0"/>
          <w:lang w:val="en-US"/>
        </w:rPr>
        <w:t>’</w:t>
      </w:r>
      <w:r>
        <w:rPr>
          <w:rStyle w:val="None"/>
          <w:rFonts w:ascii="Times New Roman" w:hAnsi="Times New Roman"/>
          <w:sz w:val="28"/>
          <w:szCs w:val="28"/>
          <w:shd w:val="clear" w:color="auto" w:fill="ffffff"/>
          <w:rtl w:val="0"/>
          <w:lang w:val="en-US"/>
        </w:rPr>
        <w:t>s red, white, and sparkling wines, along with the famous Bordeaux Blend style reds; 12 different labels in total, it attracted more than 40 international journalists and professionals in the wine trade. In addition, Ningxia Wine Bureau organized its first ever stand at Vinitaly. This marked its first ever participation to an international wine fair.</w:t>
      </w:r>
      <w:r>
        <w:rPr>
          <w:rStyle w:val="None"/>
          <w:rFonts w:ascii="Arial Unicode MS" w:cs="Arial Unicode MS" w:hAnsi="Arial Unicode MS" w:eastAsia="Arial Unicode MS"/>
          <w:sz w:val="28"/>
          <w:szCs w:val="28"/>
          <w:shd w:val="clear" w:color="auto" w:fill="ffffff"/>
          <w:lang w:val="en-US"/>
        </w:rPr>
        <w:br w:type="textWrapping"/>
      </w:r>
    </w:p>
    <w:p>
      <w:pPr>
        <w:pStyle w:val="Default"/>
        <w:jc w:val="both"/>
        <w:rPr>
          <w:rStyle w:val="None"/>
          <w:rFonts w:ascii="Times New Roman" w:cs="Times New Roman" w:hAnsi="Times New Roman" w:eastAsia="Times New Roman"/>
          <w:sz w:val="28"/>
          <w:szCs w:val="28"/>
          <w:shd w:val="clear" w:color="auto" w:fill="fefefe"/>
        </w:rPr>
      </w:pPr>
      <w:r>
        <w:rPr>
          <w:rStyle w:val="None"/>
          <w:rFonts w:ascii="Times New Roman" w:hAnsi="Times New Roman"/>
          <w:sz w:val="28"/>
          <w:szCs w:val="28"/>
          <w:shd w:val="clear" w:color="auto" w:fill="ffffff"/>
          <w:rtl w:val="0"/>
          <w:lang w:val="en-US"/>
        </w:rPr>
        <w:t xml:space="preserve">Needless to say, Ningxia wines were also highly recognized during the 3 day selection of wines for </w:t>
      </w:r>
      <w:r>
        <w:rPr>
          <w:rStyle w:val="None"/>
          <w:rFonts w:ascii="Times New Roman" w:hAnsi="Times New Roman"/>
          <w:sz w:val="28"/>
          <w:szCs w:val="28"/>
          <w:rtl w:val="0"/>
          <w:lang w:val="en-US"/>
        </w:rPr>
        <w:t xml:space="preserve">5 StarWines - the Book 2017 </w:t>
      </w:r>
      <w:r>
        <w:rPr>
          <w:rStyle w:val="None"/>
          <w:rFonts w:ascii="Times New Roman" w:hAnsi="Times New Roman"/>
          <w:sz w:val="28"/>
          <w:szCs w:val="28"/>
          <w:shd w:val="clear" w:color="auto" w:fill="ffffff"/>
          <w:rtl w:val="0"/>
          <w:lang w:val="en-US"/>
        </w:rPr>
        <w:t xml:space="preserve">among the panel of judges made up of highly internationally qualified experts. 16 labels met the expectations of the judges and were given high points (See PDF below). The delegates were able to receive the diploma directly from Dr.Agata, at wine2digital during their recent visit. Additionally, </w:t>
      </w:r>
      <w:r>
        <w:rPr>
          <w:rStyle w:val="None"/>
          <w:rFonts w:ascii="Times New Roman" w:hAnsi="Times New Roman"/>
          <w:sz w:val="28"/>
          <w:szCs w:val="28"/>
          <w:rtl w:val="0"/>
          <w:lang w:val="en-US"/>
        </w:rPr>
        <w:t xml:space="preserve">Vinitaly International inaugurated the Ningxia Wine Bureau Cabin, a room dedicated to showcasing Ningxia wines at wine2digital, which includes an eno-dispenser where the wines can actually be tasted. As the international hub for wine professionals, wine2digital will be able to facilitate many opportunities to introduce Ningxia wines to wine professionals all over the world. </w:t>
      </w:r>
      <w:r>
        <w:rPr>
          <w:rStyle w:val="None"/>
          <w:rFonts w:ascii="Times New Roman" w:cs="Times New Roman" w:hAnsi="Times New Roman" w:eastAsia="Times New Roman"/>
          <w:sz w:val="28"/>
          <w:szCs w:val="28"/>
          <w:lang w:val="it-IT"/>
        </w:rPr>
        <w:drawing>
          <wp:anchor distT="152400" distB="152400" distL="152400" distR="152400" simplePos="0" relativeHeight="251659264" behindDoc="0" locked="0" layoutInCell="1" allowOverlap="1">
            <wp:simplePos x="0" y="0"/>
            <wp:positionH relativeFrom="page">
              <wp:posOffset>713741</wp:posOffset>
            </wp:positionH>
            <wp:positionV relativeFrom="line">
              <wp:posOffset>324484</wp:posOffset>
            </wp:positionV>
            <wp:extent cx="6116321" cy="4323968"/>
            <wp:effectExtent l="0" t="0" r="0" b="0"/>
            <wp:wrapTopAndBottom distT="152400" distB="152400"/>
            <wp:docPr id="1073741827" name="officeArt object" descr="Immagine_comunicato_ninxia.jpg"/>
            <wp:cNvGraphicFramePr/>
            <a:graphic xmlns:a="http://schemas.openxmlformats.org/drawingml/2006/main">
              <a:graphicData uri="http://schemas.openxmlformats.org/drawingml/2006/picture">
                <pic:pic xmlns:pic="http://schemas.openxmlformats.org/drawingml/2006/picture">
                  <pic:nvPicPr>
                    <pic:cNvPr id="1073741827" name="Immagine_comunicato_ninxia.jpg" descr="Immagine_comunicato_ninxia.jpg"/>
                    <pic:cNvPicPr>
                      <a:picLocks noChangeAspect="1"/>
                    </pic:cNvPicPr>
                  </pic:nvPicPr>
                  <pic:blipFill>
                    <a:blip r:embed="rId4">
                      <a:extLst/>
                    </a:blip>
                    <a:stretch>
                      <a:fillRect/>
                    </a:stretch>
                  </pic:blipFill>
                  <pic:spPr>
                    <a:xfrm>
                      <a:off x="0" y="0"/>
                      <a:ext cx="6116321" cy="4323968"/>
                    </a:xfrm>
                    <a:prstGeom prst="rect">
                      <a:avLst/>
                    </a:prstGeom>
                    <a:ln w="12700" cap="flat">
                      <a:noFill/>
                      <a:miter lim="400000"/>
                    </a:ln>
                    <a:effectLst/>
                  </pic:spPr>
                </pic:pic>
              </a:graphicData>
            </a:graphic>
          </wp:anchor>
        </w:drawing>
      </w:r>
      <w:r>
        <w:rPr>
          <w:rStyle w:val="None"/>
          <w:rFonts w:ascii="Times New Roman" w:hAnsi="Times New Roman"/>
          <w:sz w:val="28"/>
          <w:szCs w:val="28"/>
          <w:rtl w:val="0"/>
          <w:lang w:val="en-US"/>
        </w:rPr>
        <w:t xml:space="preserve">Furthermore, the collaboration between the two will also center on educational initiatives focused on Italian wines in China. </w:t>
      </w:r>
    </w:p>
    <w:p>
      <w:pPr>
        <w:pStyle w:val="Default"/>
        <w:jc w:val="both"/>
        <w:rPr>
          <w:rStyle w:val="None"/>
          <w:rFonts w:ascii="Times New Roman" w:cs="Times New Roman" w:hAnsi="Times New Roman" w:eastAsia="Times New Roman"/>
          <w:sz w:val="28"/>
          <w:szCs w:val="28"/>
          <w:lang w:val="en-US"/>
        </w:rPr>
      </w:pPr>
    </w:p>
    <w:p>
      <w:pPr>
        <w:pStyle w:val="Default"/>
        <w:jc w:val="both"/>
        <w:rPr>
          <w:rStyle w:val="None"/>
          <w:rFonts w:ascii="Times New Roman" w:cs="Times New Roman" w:hAnsi="Times New Roman" w:eastAsia="Times New Roman"/>
          <w:sz w:val="28"/>
          <w:szCs w:val="28"/>
        </w:rPr>
      </w:pP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We are extremely honoured to strengthen our relationship. Vinitaly International has showed continuous commitment not only to the Chinese market but also to embracing the wine producers of China. We will have many occasions to work together, especially to elevate the level of Italian wine education and introduce more of Italy</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s high quality wines</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confirms Mr. Jianjun Feng Deputy Director General of Ningxia Wine Bureau.</w:t>
      </w:r>
      <w:r>
        <w:rPr>
          <w:rStyle w:val="None"/>
          <w:rFonts w:ascii="Times New Roman" w:cs="Times New Roman" w:hAnsi="Times New Roman" w:eastAsia="Times New Roman"/>
          <w:sz w:val="28"/>
          <w:szCs w:val="28"/>
          <w:lang w:val="it-IT"/>
        </w:rPr>
        <w:drawing>
          <wp:anchor distT="152400" distB="152400" distL="152400" distR="152400" simplePos="0" relativeHeight="251660288" behindDoc="0" locked="0" layoutInCell="1" allowOverlap="1">
            <wp:simplePos x="0" y="0"/>
            <wp:positionH relativeFrom="page">
              <wp:posOffset>713741</wp:posOffset>
            </wp:positionH>
            <wp:positionV relativeFrom="line">
              <wp:posOffset>395604</wp:posOffset>
            </wp:positionV>
            <wp:extent cx="6116321" cy="4077547"/>
            <wp:effectExtent l="0" t="0" r="0" b="0"/>
            <wp:wrapTopAndBottom distT="152400" distB="152400"/>
            <wp:docPr id="1073741828" name="officeArt object" descr="IMG_0147-2.jpg"/>
            <wp:cNvGraphicFramePr/>
            <a:graphic xmlns:a="http://schemas.openxmlformats.org/drawingml/2006/main">
              <a:graphicData uri="http://schemas.openxmlformats.org/drawingml/2006/picture">
                <pic:pic xmlns:pic="http://schemas.openxmlformats.org/drawingml/2006/picture">
                  <pic:nvPicPr>
                    <pic:cNvPr id="1073741828" name="IMG_0147-2.jpg" descr="IMG_0147-2.jpg"/>
                    <pic:cNvPicPr>
                      <a:picLocks noChangeAspect="1"/>
                    </pic:cNvPicPr>
                  </pic:nvPicPr>
                  <pic:blipFill>
                    <a:blip r:embed="rId5">
                      <a:extLst/>
                    </a:blip>
                    <a:stretch>
                      <a:fillRect/>
                    </a:stretch>
                  </pic:blipFill>
                  <pic:spPr>
                    <a:xfrm>
                      <a:off x="0" y="0"/>
                      <a:ext cx="6116321" cy="4077547"/>
                    </a:xfrm>
                    <a:prstGeom prst="rect">
                      <a:avLst/>
                    </a:prstGeom>
                    <a:ln w="12700" cap="flat">
                      <a:noFill/>
                      <a:miter lim="400000"/>
                    </a:ln>
                    <a:effectLst/>
                  </pic:spPr>
                </pic:pic>
              </a:graphicData>
            </a:graphic>
          </wp:anchor>
        </w:drawing>
      </w:r>
      <w:r>
        <w:rPr>
          <w:rStyle w:val="None"/>
          <w:rFonts w:ascii="Times New Roman" w:hAnsi="Times New Roman"/>
          <w:sz w:val="28"/>
          <w:szCs w:val="28"/>
          <w:rtl w:val="0"/>
          <w:lang w:val="en-US"/>
        </w:rPr>
        <w:t xml:space="preserve"> </w:t>
      </w:r>
    </w:p>
    <w:p>
      <w:pPr>
        <w:pStyle w:val="Default"/>
        <w:jc w:val="both"/>
        <w:rPr>
          <w:rStyle w:val="None"/>
          <w:rFonts w:ascii="Times New Roman" w:cs="Times New Roman" w:hAnsi="Times New Roman" w:eastAsia="Times New Roman"/>
          <w:sz w:val="28"/>
          <w:szCs w:val="28"/>
          <w:lang w:val="en-US"/>
        </w:rPr>
      </w:pPr>
    </w:p>
    <w:p>
      <w:pPr>
        <w:pStyle w:val="Default"/>
        <w:jc w:val="both"/>
        <w:rPr>
          <w:rStyle w:val="None"/>
          <w:rFonts w:ascii="Times New Roman" w:cs="Times New Roman" w:hAnsi="Times New Roman" w:eastAsia="Times New Roman"/>
          <w:sz w:val="28"/>
          <w:szCs w:val="28"/>
          <w:lang w:val="en-US"/>
        </w:rPr>
      </w:pPr>
      <w:r>
        <w:rPr>
          <w:rStyle w:val="None"/>
          <w:rFonts w:ascii="Times New Roman" w:hAnsi="Times New Roman"/>
          <w:sz w:val="28"/>
          <w:szCs w:val="28"/>
          <w:rtl w:val="0"/>
          <w:lang w:val="en-US"/>
        </w:rPr>
        <w:t>For more details on the master course on Ningxia wine held during Vinitaly 2017:</w:t>
      </w:r>
    </w:p>
    <w:p>
      <w:pPr>
        <w:pStyle w:val="Default"/>
        <w:jc w:val="both"/>
        <w:rPr>
          <w:rStyle w:val="None"/>
          <w:rFonts w:ascii="Times New Roman" w:cs="Times New Roman" w:hAnsi="Times New Roman" w:eastAsia="Times New Roman"/>
          <w:sz w:val="28"/>
          <w:szCs w:val="28"/>
          <w:lang w:val="en-US"/>
        </w:rPr>
      </w:pPr>
      <w:r>
        <w:rPr>
          <w:rStyle w:val="Hyperlink.1"/>
          <w:rFonts w:ascii="Times New Roman" w:cs="Times New Roman" w:hAnsi="Times New Roman" w:eastAsia="Times New Roman"/>
          <w:color w:val="0000ff"/>
          <w:sz w:val="28"/>
          <w:szCs w:val="28"/>
          <w:u w:val="single" w:color="0000ff"/>
          <w:lang w:val="en-US"/>
        </w:rPr>
        <w:fldChar w:fldCharType="begin" w:fldLock="0"/>
      </w:r>
      <w:r>
        <w:rPr>
          <w:rStyle w:val="Hyperlink.1"/>
          <w:rFonts w:ascii="Times New Roman" w:cs="Times New Roman" w:hAnsi="Times New Roman" w:eastAsia="Times New Roman"/>
          <w:color w:val="0000ff"/>
          <w:sz w:val="28"/>
          <w:szCs w:val="28"/>
          <w:u w:val="single" w:color="0000ff"/>
          <w:lang w:val="en-US"/>
        </w:rPr>
        <w:instrText xml:space="preserve"> HYPERLINK "http://www.vinitaly.com/en/events2017/calendar/wine2digital---palaexpo-entrance-a2-1st-floor/VIA-cina-ningxia/"</w:instrText>
      </w:r>
      <w:r>
        <w:rPr>
          <w:rStyle w:val="Hyperlink.1"/>
          <w:rFonts w:ascii="Times New Roman" w:cs="Times New Roman" w:hAnsi="Times New Roman" w:eastAsia="Times New Roman"/>
          <w:color w:val="0000ff"/>
          <w:sz w:val="28"/>
          <w:szCs w:val="28"/>
          <w:u w:val="single" w:color="0000ff"/>
          <w:lang w:val="en-US"/>
        </w:rPr>
        <w:fldChar w:fldCharType="separate" w:fldLock="0"/>
      </w:r>
      <w:r>
        <w:rPr>
          <w:rStyle w:val="Hyperlink.1"/>
          <w:rFonts w:ascii="Times New Roman" w:hAnsi="Times New Roman"/>
          <w:color w:val="0000ff"/>
          <w:sz w:val="28"/>
          <w:szCs w:val="28"/>
          <w:u w:val="single" w:color="0000ff"/>
          <w:rtl w:val="0"/>
          <w:lang w:val="en-US"/>
        </w:rPr>
        <w:t>http://www.vinitaly.com/en/events2017/calendar/wine2digital---palaexpo-entrance-a2-1st-floor/VIA-cina-ningxia/</w:t>
      </w:r>
      <w:r>
        <w:rPr>
          <w:lang w:val="en-US"/>
        </w:rPr>
        <w:fldChar w:fldCharType="end" w:fldLock="0"/>
      </w:r>
    </w:p>
    <w:p>
      <w:pPr>
        <w:pStyle w:val="Default"/>
        <w:jc w:val="both"/>
        <w:rPr>
          <w:rStyle w:val="None"/>
          <w:rFonts w:ascii="Times New Roman" w:cs="Times New Roman" w:hAnsi="Times New Roman" w:eastAsia="Times New Roman"/>
          <w:sz w:val="28"/>
          <w:szCs w:val="28"/>
          <w:lang w:val="en-US"/>
        </w:rPr>
      </w:pPr>
    </w:p>
    <w:p>
      <w:pPr>
        <w:pStyle w:val="Default"/>
        <w:jc w:val="both"/>
        <w:rPr>
          <w:rStyle w:val="None"/>
          <w:rFonts w:ascii="Times New Roman" w:cs="Times New Roman" w:hAnsi="Times New Roman" w:eastAsia="Times New Roman"/>
          <w:sz w:val="28"/>
          <w:szCs w:val="28"/>
          <w:lang w:val="en-US"/>
        </w:rPr>
      </w:pPr>
      <w:r>
        <w:rPr>
          <w:rStyle w:val="None"/>
          <w:rFonts w:ascii="Times New Roman" w:hAnsi="Times New Roman"/>
          <w:sz w:val="28"/>
          <w:szCs w:val="28"/>
          <w:rtl w:val="0"/>
          <w:lang w:val="en-US"/>
        </w:rPr>
        <w:t>About:</w:t>
      </w:r>
    </w:p>
    <w:p>
      <w:pPr>
        <w:pStyle w:val="Body A"/>
        <w:jc w:val="both"/>
      </w:pPr>
      <w:r>
        <w:rPr>
          <w:rStyle w:val="None"/>
          <w:sz w:val="28"/>
          <w:szCs w:val="28"/>
          <w:rtl w:val="0"/>
          <w:lang w:val="en-US"/>
        </w:rPr>
        <w:t xml:space="preserve">Veronafiere is the leading organizer of trade shows in Italy including Vinitaly (www.vinitaly.com), the largest wine and spirits fair in the world. During its 51th edition Vinitaly counted more than 4,270 exhibitors on a 100,000+ square meter area and 128,000 visitors from 142 different countries with more than 30,000 top international buyers (up by 8%). The next edition of the fair will take place on 15 - 18 April 2018. The premier event to Vinitaly, OperaWine (www.operawine.it) </w:t>
      </w:r>
      <w:r>
        <w:rPr>
          <w:rStyle w:val="None"/>
          <w:sz w:val="28"/>
          <w:szCs w:val="28"/>
          <w:rtl w:val="0"/>
          <w:lang w:val="en-US"/>
        </w:rPr>
        <w:t>“</w:t>
      </w:r>
      <w:r>
        <w:rPr>
          <w:rStyle w:val="None"/>
          <w:sz w:val="28"/>
          <w:szCs w:val="28"/>
          <w:rtl w:val="0"/>
          <w:lang w:val="en-US"/>
        </w:rPr>
        <w:t>Finest Italian Wines: 100 Great Producers,</w:t>
      </w:r>
      <w:r>
        <w:rPr>
          <w:rStyle w:val="None"/>
          <w:sz w:val="28"/>
          <w:szCs w:val="28"/>
          <w:rtl w:val="0"/>
          <w:lang w:val="en-US"/>
        </w:rPr>
        <w:t xml:space="preserve">” </w:t>
      </w:r>
      <w:r>
        <w:rPr>
          <w:rStyle w:val="None"/>
          <w:sz w:val="28"/>
          <w:szCs w:val="28"/>
          <w:rtl w:val="0"/>
          <w:lang w:val="en-US"/>
        </w:rPr>
        <w:t>will unite international wine professionals on April 14th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this year launched the fourth edition of its Certification Course and today counts 92 Italian Wine Ambassadors and 7 Italian Wine Experts.</w:t>
      </w:r>
    </w:p>
    <w:sectPr>
      <w:headerReference w:type="default" r:id="rId6"/>
      <w:footerReference w:type="default" r:id="rId7"/>
      <w:pgSz w:w="11900" w:h="16840" w:orient="portrait"/>
      <w:pgMar w:top="1417" w:right="1134" w:bottom="1134" w:left="1134"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after="720"/>
    </w:pPr>
    <w:r>
      <w:rPr>
        <w:sz w:val="20"/>
        <w:szCs w:val="20"/>
      </w:rPr>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before="720"/>
    </w:pPr>
    <w:r>
      <w:drawing>
        <wp:inline distT="0" distB="0" distL="0" distR="0">
          <wp:extent cx="1143000" cy="58166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1">
                    <a:extLst/>
                  </a:blip>
                  <a:stretch>
                    <a:fillRect/>
                  </a:stretch>
                </pic:blipFill>
                <pic:spPr>
                  <a:xfrm>
                    <a:off x="0" y="0"/>
                    <a:ext cx="1143000" cy="581660"/>
                  </a:xfrm>
                  <a:prstGeom prst="rect">
                    <a:avLst/>
                  </a:prstGeom>
                  <a:ln w="12700" cap="flat">
                    <a:noFill/>
                    <a:miter lim="400000"/>
                  </a:ln>
                  <a:effectLst/>
                </pic:spPr>
              </pic:pic>
            </a:graphicData>
          </a:graphic>
        </wp:inline>
      </w:drawing>
    </w:r>
    <w:r>
      <w:rPr>
        <w:sz w:val="20"/>
        <w:szCs w:val="20"/>
      </w:rPr>
      <w:tab/>
    </w:r>
    <w:r>
      <w:rPr>
        <w:sz w:val="20"/>
        <w:szCs w:val="20"/>
      </w:rPr>
      <w:drawing>
        <wp:inline distT="0" distB="0" distL="0" distR="0">
          <wp:extent cx="1308101" cy="609602"/>
          <wp:effectExtent l="0" t="0" r="0" b="0"/>
          <wp:docPr id="1073741826" name="officeArt object" descr="image3.jpeg"/>
          <wp:cNvGraphicFramePr/>
          <a:graphic xmlns:a="http://schemas.openxmlformats.org/drawingml/2006/main">
            <a:graphicData uri="http://schemas.openxmlformats.org/drawingml/2006/picture">
              <pic:pic xmlns:pic="http://schemas.openxmlformats.org/drawingml/2006/picture">
                <pic:nvPicPr>
                  <pic:cNvPr id="1073741826" name="image3.jpeg" descr="image3.jpeg"/>
                  <pic:cNvPicPr>
                    <a:picLocks noChangeAspect="1"/>
                  </pic:cNvPicPr>
                </pic:nvPicPr>
                <pic:blipFill>
                  <a:blip r:embed="rId2">
                    <a:extLst/>
                  </a:blip>
                  <a:stretch>
                    <a:fillRect/>
                  </a:stretch>
                </pic:blipFill>
                <pic:spPr>
                  <a:xfrm>
                    <a:off x="0" y="0"/>
                    <a:ext cx="1308101" cy="609602"/>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character" w:styleId="None">
    <w:name w:val="None"/>
  </w:style>
  <w:style w:type="character" w:styleId="Hyperlink.0">
    <w:name w:val="Hyperlink.0"/>
    <w:basedOn w:val="None"/>
    <w:next w:val="Hyperlink.0"/>
    <w:rPr>
      <w:rFonts w:ascii="Arial" w:cs="Arial" w:hAnsi="Arial" w:eastAsia="Arial"/>
      <w:color w:val="0432fe"/>
      <w:sz w:val="20"/>
      <w:szCs w:val="20"/>
      <w:u w:val="single" w:color="0432f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character" w:styleId="Hyperlink.1">
    <w:name w:val="Hyperlink.1"/>
    <w:basedOn w:val="None"/>
    <w:next w:val="Hyperlink.1"/>
    <w:rPr>
      <w:rFonts w:ascii="Times New Roman" w:cs="Times New Roman" w:hAnsi="Times New Roman" w:eastAsia="Times New Roman"/>
      <w:color w:val="0000ff"/>
      <w:sz w:val="28"/>
      <w:szCs w:val="28"/>
      <w:u w:val="single" w:color="0000ff"/>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e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