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lang w:val="en-US"/>
        </w:rPr>
      </w:pPr>
      <w:r>
        <w:rPr>
          <w:rStyle w:val="Hyperlink.1"/>
          <w:rFonts w:ascii="Arial" w:cs="Arial" w:hAnsi="Arial" w:eastAsia="Arial"/>
          <w:color w:val="0432fe"/>
          <w:sz w:val="20"/>
          <w:szCs w:val="20"/>
          <w:u w:val="single" w:color="0432fe"/>
          <w:lang w:val="en-US"/>
        </w:rPr>
        <w:fldChar w:fldCharType="begin" w:fldLock="0"/>
      </w:r>
      <w:r>
        <w:rPr>
          <w:rStyle w:val="Hyperlink.1"/>
          <w:rFonts w:ascii="Arial" w:cs="Arial" w:hAnsi="Arial" w:eastAsia="Arial"/>
          <w:color w:val="0432fe"/>
          <w:sz w:val="20"/>
          <w:szCs w:val="20"/>
          <w:u w:val="single" w:color="0432fe"/>
          <w:lang w:val="en-US"/>
        </w:rPr>
        <w:instrText xml:space="preserve"> HYPERLINK "http://www.vinitalyinternational.com"</w:instrText>
      </w:r>
      <w:r>
        <w:rPr>
          <w:rStyle w:val="Hyperlink.1"/>
          <w:rFonts w:ascii="Arial" w:cs="Arial" w:hAnsi="Arial" w:eastAsia="Arial"/>
          <w:color w:val="0432fe"/>
          <w:sz w:val="20"/>
          <w:szCs w:val="20"/>
          <w:u w:val="single" w:color="0432fe"/>
          <w:lang w:val="en-US"/>
        </w:rPr>
        <w:fldChar w:fldCharType="separate" w:fldLock="0"/>
      </w:r>
      <w:r>
        <w:rPr>
          <w:rStyle w:val="Hyperlink.1"/>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51365"/>
          <w:u w:val="single" w:color="651365"/>
          <w:rtl w:val="0"/>
          <w:lang w:val="en-US"/>
        </w:rPr>
        <w:t xml:space="preserve">                                                                   </w:t>
      </w:r>
    </w:p>
    <w:p>
      <w:pPr>
        <w:pStyle w:val="Default"/>
        <w:jc w:val="both"/>
        <w:rPr>
          <w:rStyle w:val="None"/>
          <w:rFonts w:ascii="Arial" w:cs="Arial" w:hAnsi="Arial" w:eastAsia="Arial"/>
          <w:b w:val="1"/>
          <w:bCs w:val="1"/>
          <w:sz w:val="24"/>
          <w:szCs w:val="24"/>
          <w:lang w:val="en-US"/>
        </w:rPr>
      </w:pPr>
    </w:p>
    <w:p>
      <w:pPr>
        <w:pStyle w:val="Default"/>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34"/>
          <w:szCs w:val="34"/>
          <w:rtl w:val="0"/>
          <w:lang w:val="en-US"/>
        </w:rPr>
        <w:t>Vinitaly International Academy</w:t>
      </w:r>
      <w:r>
        <w:rPr>
          <w:rStyle w:val="None"/>
          <w:rFonts w:ascii="Times New Roman" w:hAnsi="Times New Roman" w:hint="default"/>
          <w:b w:val="1"/>
          <w:bCs w:val="1"/>
          <w:sz w:val="34"/>
          <w:szCs w:val="34"/>
          <w:rtl w:val="0"/>
          <w:lang w:val="en-US"/>
        </w:rPr>
        <w:t>’</w:t>
      </w:r>
      <w:r>
        <w:rPr>
          <w:rStyle w:val="None"/>
          <w:rFonts w:ascii="Times New Roman" w:hAnsi="Times New Roman"/>
          <w:b w:val="1"/>
          <w:bCs w:val="1"/>
          <w:sz w:val="34"/>
          <w:szCs w:val="34"/>
          <w:rtl w:val="0"/>
          <w:lang w:val="en-US"/>
        </w:rPr>
        <w:t xml:space="preserve">s tough exam sets among the highest educational standards for wine professionals worldwide  </w:t>
      </w:r>
    </w:p>
    <w:p>
      <w:pPr>
        <w:pStyle w:val="Default"/>
        <w:jc w:val="both"/>
        <w:rPr>
          <w:rStyle w:val="None"/>
          <w:rFonts w:ascii="Times New Roman" w:cs="Times New Roman" w:hAnsi="Times New Roman" w:eastAsia="Times New Roman"/>
          <w:sz w:val="28"/>
          <w:szCs w:val="28"/>
          <w:lang w:val="en-US"/>
        </w:rPr>
      </w:pPr>
      <w:r>
        <w:rPr>
          <w:rStyle w:val="None"/>
          <w:rFonts w:ascii="Times New Roman" w:cs="Times New Roman" w:hAnsi="Times New Roman" w:eastAsia="Times New Roman"/>
          <w:b w:val="1"/>
          <w:bCs w:val="1"/>
          <w:sz w:val="28"/>
          <w:szCs w:val="28"/>
          <w:lang w:val="en-US"/>
        </w:rPr>
        <w:drawing>
          <wp:anchor distT="152400" distB="152400" distL="152400" distR="152400" simplePos="0" relativeHeight="251659264" behindDoc="0" locked="0" layoutInCell="1" allowOverlap="1">
            <wp:simplePos x="0" y="0"/>
            <wp:positionH relativeFrom="margin">
              <wp:posOffset>-121920</wp:posOffset>
            </wp:positionH>
            <wp:positionV relativeFrom="line">
              <wp:posOffset>235584</wp:posOffset>
            </wp:positionV>
            <wp:extent cx="6116321" cy="4085702"/>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SC_0482.jpg"/>
                    <pic:cNvPicPr>
                      <a:picLocks noChangeAspect="1"/>
                    </pic:cNvPicPr>
                  </pic:nvPicPr>
                  <pic:blipFill>
                    <a:blip r:embed="rId4">
                      <a:extLst/>
                    </a:blip>
                    <a:stretch>
                      <a:fillRect/>
                    </a:stretch>
                  </pic:blipFill>
                  <pic:spPr>
                    <a:xfrm>
                      <a:off x="0" y="0"/>
                      <a:ext cx="6116321" cy="4085702"/>
                    </a:xfrm>
                    <a:prstGeom prst="rect">
                      <a:avLst/>
                    </a:prstGeom>
                    <a:ln w="12700" cap="flat">
                      <a:noFill/>
                      <a:miter lim="400000"/>
                    </a:ln>
                    <a:effectLst/>
                  </pic:spPr>
                </pic:pic>
              </a:graphicData>
            </a:graphic>
          </wp:anchor>
        </w:drawing>
      </w:r>
    </w:p>
    <w:p>
      <w:pPr>
        <w:pStyle w:val="Default"/>
        <w:rPr>
          <w:rStyle w:val="None"/>
          <w:rFonts w:ascii="Arial Unicode MS" w:cs="Arial Unicode MS" w:hAnsi="Arial Unicode MS" w:eastAsia="Arial Unicode MS"/>
          <w:sz w:val="24"/>
          <w:szCs w:val="24"/>
          <w:lang w:val="en-US"/>
        </w:rPr>
      </w:pPr>
      <w:r>
        <w:rPr>
          <w:rStyle w:val="None"/>
          <w:rFonts w:ascii="Arial Unicode MS" w:cs="Arial Unicode MS" w:hAnsi="Arial Unicode MS" w:eastAsia="Arial Unicode MS"/>
          <w:sz w:val="24"/>
          <w:szCs w:val="24"/>
          <w:lang w:val="en-US"/>
        </w:rPr>
        <w:br w:type="textWrapping"/>
      </w:r>
    </w:p>
    <w:p>
      <w:pPr>
        <w:pStyle w:val="Default"/>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rtl w:val="0"/>
          <w:lang w:val="en-US"/>
        </w:rPr>
        <w:t xml:space="preserve">The Vinitaly International Academy (VIA) certification exam proves to be, once more, one of the toughest wine exams, due to its focus on the many Italian native grapes. At its first roll-out in China in Beijing and Shanghai, the VIA course only awarded its </w:t>
      </w:r>
      <w:r>
        <w:rPr>
          <w:rStyle w:val="None"/>
          <w:rFonts w:ascii="Times New Roman" w:hAnsi="Times New Roman"/>
          <w:sz w:val="28"/>
          <w:szCs w:val="28"/>
          <w:shd w:val="clear" w:color="auto" w:fill="fefefe"/>
          <w:rtl w:val="0"/>
          <w:lang w:val="en-US"/>
        </w:rPr>
        <w:t xml:space="preserve">Italian Wine Ambassador (IWA) title to </w:t>
      </w:r>
      <w:r>
        <w:rPr>
          <w:rStyle w:val="None"/>
          <w:rFonts w:ascii="Times New Roman" w:hAnsi="Times New Roman"/>
          <w:sz w:val="28"/>
          <w:szCs w:val="28"/>
          <w:rtl w:val="0"/>
          <w:lang w:val="en-US"/>
        </w:rPr>
        <w:t xml:space="preserve">15 </w:t>
      </w:r>
      <w:r>
        <w:rPr>
          <w:rStyle w:val="None"/>
          <w:rFonts w:ascii="Times New Roman" w:hAnsi="Times New Roman"/>
          <w:sz w:val="28"/>
          <w:szCs w:val="28"/>
          <w:shd w:val="clear" w:color="auto" w:fill="fefefe"/>
          <w:rtl w:val="0"/>
          <w:lang w:val="en-US"/>
        </w:rPr>
        <w:t xml:space="preserve">candidates out of </w:t>
      </w:r>
      <w:r>
        <w:rPr>
          <w:rStyle w:val="None"/>
          <w:rFonts w:ascii="Times New Roman" w:hAnsi="Times New Roman"/>
          <w:sz w:val="28"/>
          <w:szCs w:val="28"/>
          <w:shd w:val="clear" w:color="auto" w:fill="fefefe"/>
          <w:rtl w:val="0"/>
          <w:lang w:val="en-US"/>
        </w:rPr>
        <w:t>73</w:t>
      </w:r>
      <w:r>
        <w:rPr>
          <w:rStyle w:val="None"/>
          <w:rFonts w:ascii="Times New Roman" w:hAnsi="Times New Roman"/>
          <w:sz w:val="28"/>
          <w:szCs w:val="28"/>
          <w:shd w:val="clear" w:color="auto" w:fill="fefefe"/>
          <w:rtl w:val="0"/>
          <w:lang w:val="en-US"/>
        </w:rPr>
        <w:t xml:space="preserve"> who sat the exam in total. </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shd w:val="clear" w:color="auto" w:fill="fefefe"/>
          <w:rtl w:val="0"/>
          <w:lang w:val="en-US"/>
        </w:rPr>
        <w:t>In order to achieve the title of IWA, the candidates have to pass a complex exam at the end of each course. The passing rate is around 25 to 45 percent, which shows how challenging the exam is. The exam difficulty</w:t>
      </w:r>
      <w:r>
        <w:rPr>
          <w:rStyle w:val="None"/>
          <w:rFonts w:ascii="Times New Roman" w:hAnsi="Times New Roman"/>
          <w:sz w:val="28"/>
          <w:szCs w:val="28"/>
          <w:shd w:val="clear" w:color="auto" w:fill="fefefe"/>
          <w:rtl w:val="0"/>
          <w:lang w:val="en-US"/>
        </w:rPr>
        <w:t xml:space="preserve"> </w:t>
      </w:r>
      <w:r>
        <w:rPr>
          <w:rStyle w:val="None"/>
          <w:rFonts w:ascii="Times New Roman" w:hAnsi="Times New Roman"/>
          <w:sz w:val="28"/>
          <w:szCs w:val="28"/>
          <w:shd w:val="clear" w:color="auto" w:fill="fefefe"/>
          <w:rtl w:val="0"/>
          <w:lang w:val="en-US"/>
        </w:rPr>
        <w:t>serves two main purposes: on the one hand, it main</w:t>
      </w:r>
      <w:r>
        <w:rPr>
          <w:rStyle w:val="None"/>
          <w:rFonts w:ascii="Times New Roman" w:hAnsi="Times New Roman"/>
          <w:sz w:val="28"/>
          <w:szCs w:val="28"/>
          <w:shd w:val="clear" w:color="auto" w:fill="fefefe"/>
          <w:rtl w:val="0"/>
          <w:lang w:val="en-US"/>
        </w:rPr>
        <w:t>tai</w:t>
      </w:r>
      <w:r>
        <w:rPr>
          <w:rStyle w:val="None"/>
          <w:rFonts w:ascii="Times New Roman" w:hAnsi="Times New Roman"/>
          <w:sz w:val="28"/>
          <w:szCs w:val="28"/>
          <w:shd w:val="clear" w:color="auto" w:fill="fefefe"/>
          <w:rtl w:val="0"/>
          <w:lang w:val="en-US"/>
        </w:rPr>
        <w:t>ns a competitive threshold, that will really enrich wine professionals</w:t>
      </w:r>
      <w:r>
        <w:rPr>
          <w:rStyle w:val="None"/>
          <w:rFonts w:ascii="Times New Roman" w:hAnsi="Times New Roman" w:hint="default"/>
          <w:sz w:val="28"/>
          <w:szCs w:val="28"/>
          <w:shd w:val="clear" w:color="auto" w:fill="fefefe"/>
          <w:rtl w:val="0"/>
          <w:lang w:val="en-US"/>
        </w:rPr>
        <w:t xml:space="preserve">’ </w:t>
      </w:r>
      <w:r>
        <w:rPr>
          <w:rStyle w:val="None"/>
          <w:rFonts w:ascii="Times New Roman" w:hAnsi="Times New Roman"/>
          <w:sz w:val="28"/>
          <w:szCs w:val="28"/>
          <w:shd w:val="clear" w:color="auto" w:fill="fefefe"/>
          <w:rtl w:val="0"/>
          <w:lang w:val="en-US"/>
        </w:rPr>
        <w:t xml:space="preserve">profile; on the other hand, it ensures knowledge of Italian wine be always in line with the most up to date and rigorous research. Stevie Kim, the Vinitaly International Academy Founder, comments,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 is true there were only six new ambassadors from the Shanghai Edition of which two were retakes. Despite the difficulty of the VIA exam and the low pass rate at times, we are absolutely not here to fail candidates, but we do want to encourage them to cultivate an interest in Italian wines with rigor and a keen focus on native grapes, following Ian 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Agata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scientific approach. We welcome Italian wine educators, trade professionals, and wine lovers from all walks of life; some are even doctors, lawyers and accountants. Regardless of the exam results, I</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m certain that most had never tasted a Monica- or Frappato-based Italian wine. So what they were able to discover here with us these past two weeks gives me the greatest pleasure, since we are striving to widen the perspective on Italian wine for the Chinese wine market. Our objective, in the end, is to foster candidates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curiosity about Italian wine, and furnish them with the right tools so that they can discover Italian wine by getting to know</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and also travel to</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 Italian territories which our wines so elegantly and distinctively speak of.</w:t>
      </w:r>
      <w:r>
        <w:rPr>
          <w:rStyle w:val="None"/>
          <w:rFonts w:ascii="Times New Roman" w:hAnsi="Times New Roman" w:hint="default"/>
          <w:sz w:val="28"/>
          <w:szCs w:val="28"/>
          <w:rtl w:val="0"/>
          <w:lang w:val="en-US"/>
        </w:rPr>
        <w:t>”</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shd w:val="clear" w:color="auto" w:fill="fefefe"/>
          <w:rtl w:val="0"/>
          <w:lang w:val="en-US"/>
        </w:rPr>
        <w:t>Under the direction of internationally renowned wine critic Dr. Ian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Agata, the VIA course has a well-tested and winning format: f</w:t>
      </w:r>
      <w:r>
        <w:rPr>
          <w:rStyle w:val="None"/>
          <w:rFonts w:ascii="Times New Roman" w:hAnsi="Times New Roman"/>
          <w:sz w:val="28"/>
          <w:szCs w:val="28"/>
          <w:rtl w:val="0"/>
          <w:lang w:val="en-US"/>
        </w:rPr>
        <w:t xml:space="preserve">ive days of intense </w:t>
      </w:r>
      <w:r>
        <w:rPr>
          <w:rStyle w:val="None"/>
          <w:rFonts w:ascii="Times New Roman" w:hAnsi="Times New Roman"/>
          <w:sz w:val="28"/>
          <w:szCs w:val="28"/>
          <w:shd w:val="clear" w:color="auto" w:fill="fefefe"/>
          <w:rtl w:val="0"/>
          <w:lang w:val="en-US"/>
        </w:rPr>
        <w:t>classroom lectures exploring both scientific and cultural aspects of Italian wine and its native varieties, along with exceptional wine tastings with an average of twelve wines per day sampled by the students. The course finals include a multiple-choice test with 100 questions covering a range of Italian grapes as wide as 590. Candidates with a passing rate of 90% access the orals and tasting components of the exam that will award them the highest Italian Wine Expert (IWE) title. Students with a test passing rate between 75% and 89% receive the IWA title.</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shd w:val="clear" w:color="auto" w:fill="fefefe"/>
          <w:rtl w:val="0"/>
          <w:lang w:val="en-US"/>
        </w:rPr>
        <w:t>Ian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Agata, who has been running the course since 2015, is the aut</w:t>
      </w:r>
      <w:r>
        <w:rPr>
          <w:rStyle w:val="None"/>
          <w:rFonts w:ascii="Times New Roman" w:hAnsi="Times New Roman"/>
          <w:sz w:val="28"/>
          <w:szCs w:val="28"/>
          <w:shd w:val="clear" w:color="auto" w:fill="fefefe"/>
          <w:rtl w:val="0"/>
          <w:lang w:val="en-US"/>
        </w:rPr>
        <w:t>h</w:t>
      </w:r>
      <w:r>
        <w:rPr>
          <w:rStyle w:val="None"/>
          <w:rFonts w:ascii="Times New Roman" w:hAnsi="Times New Roman"/>
          <w:sz w:val="28"/>
          <w:szCs w:val="28"/>
          <w:shd w:val="clear" w:color="auto" w:fill="fefefe"/>
          <w:rtl w:val="0"/>
          <w:lang w:val="en-US"/>
        </w:rPr>
        <w:t xml:space="preserve">or of </w:t>
      </w:r>
      <w:r>
        <w:rPr>
          <w:rStyle w:val="None"/>
          <w:rFonts w:ascii="Times New Roman" w:hAnsi="Times New Roman"/>
          <w:i w:val="1"/>
          <w:iCs w:val="1"/>
          <w:sz w:val="28"/>
          <w:szCs w:val="28"/>
          <w:shd w:val="clear" w:color="auto" w:fill="fefefe"/>
          <w:rtl w:val="0"/>
          <w:lang w:val="en-US"/>
        </w:rPr>
        <w:t>Native Wine Grapes of Italy</w:t>
      </w:r>
      <w:r>
        <w:rPr>
          <w:rStyle w:val="None"/>
          <w:rFonts w:ascii="Times New Roman" w:hAnsi="Times New Roman"/>
          <w:sz w:val="28"/>
          <w:szCs w:val="28"/>
          <w:shd w:val="clear" w:color="auto" w:fill="fefefe"/>
          <w:rtl w:val="0"/>
          <w:lang w:val="en-US"/>
        </w:rPr>
        <w:t xml:space="preserve"> (California Univ. Press, 2045), a seminal work which broke new ground for the breadth of research and scientific rigor showcased. His book won the 2015 Louis Roederer International Wine Book Awards as Book of the Year and has been the course book for the VIA certification cour</w:t>
      </w:r>
      <w:r>
        <w:rPr>
          <w:rStyle w:val="None"/>
          <w:rFonts w:ascii="Times New Roman" w:hAnsi="Times New Roman"/>
          <w:sz w:val="28"/>
          <w:szCs w:val="28"/>
          <w:shd w:val="clear" w:color="auto" w:fill="fefefe"/>
          <w:rtl w:val="0"/>
          <w:lang w:val="en-US"/>
        </w:rPr>
        <w:t>s</w:t>
      </w:r>
      <w:r>
        <w:rPr>
          <w:rStyle w:val="None"/>
          <w:rFonts w:ascii="Times New Roman" w:hAnsi="Times New Roman"/>
          <w:sz w:val="28"/>
          <w:szCs w:val="28"/>
          <w:shd w:val="clear" w:color="auto" w:fill="fefefe"/>
          <w:rtl w:val="0"/>
          <w:lang w:val="en-US"/>
        </w:rPr>
        <w:t xml:space="preserve">e since the beginning. As of August, VIA included in its readings an additional study guide, </w:t>
      </w:r>
      <w:r>
        <w:rPr>
          <w:rStyle w:val="None"/>
          <w:rFonts w:ascii="Times New Roman" w:hAnsi="Times New Roman"/>
          <w:i w:val="1"/>
          <w:iCs w:val="1"/>
          <w:sz w:val="28"/>
          <w:szCs w:val="28"/>
          <w:shd w:val="clear" w:color="auto" w:fill="fefefe"/>
          <w:rtl w:val="0"/>
          <w:lang w:val="en-US"/>
        </w:rPr>
        <w:t>Italian Wine Unplugged Grape by Grape</w:t>
      </w:r>
      <w:r>
        <w:rPr>
          <w:rStyle w:val="None"/>
          <w:rFonts w:ascii="Times New Roman" w:hAnsi="Times New Roman"/>
          <w:sz w:val="28"/>
          <w:szCs w:val="28"/>
          <w:shd w:val="clear" w:color="auto" w:fill="fefefe"/>
          <w:rtl w:val="0"/>
          <w:lang w:val="en-US"/>
        </w:rPr>
        <w:t xml:space="preserve"> (Positive Press, 2017). VIA</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s attention to solid reading materials and innovative pedagogy in constant revolution showcases its commitment to various learning styles around the world and to spreading the gospel of Italian wine.</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The two Chinese editions welcomed wine educators, journalists, sommeliers and other wine professionals including importers and sales representatives with high credentials in the wine sector. Many of them already held WSET Diplomas and some were MW candidates. </w:t>
      </w:r>
      <w:r>
        <w:rPr>
          <w:rStyle w:val="None"/>
          <w:rFonts w:ascii="Times New Roman" w:hAnsi="Times New Roman"/>
          <w:sz w:val="28"/>
          <w:szCs w:val="28"/>
          <w:shd w:val="clear" w:color="auto" w:fill="fefefe"/>
          <w:rtl w:val="0"/>
          <w:lang w:val="en-US"/>
        </w:rPr>
        <w:t>Candidates from all over China, Taiwan, Macau, Honk Kong, Singapore and Russia took advantage of</w:t>
      </w:r>
      <w:r>
        <w:rPr>
          <w:rStyle w:val="None"/>
          <w:rFonts w:ascii="Times New Roman" w:hAnsi="Times New Roman"/>
          <w:sz w:val="28"/>
          <w:szCs w:val="28"/>
          <w:rtl w:val="0"/>
          <w:lang w:val="en-US"/>
        </w:rPr>
        <w:t xml:space="preserve"> this unique opportunity to increase their understanding of Italy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wines from the world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most important educational institution speciali</w:t>
      </w:r>
      <w:r>
        <w:rPr>
          <w:rStyle w:val="None"/>
          <w:rFonts w:ascii="Times New Roman" w:hAnsi="Times New Roman"/>
          <w:sz w:val="28"/>
          <w:szCs w:val="28"/>
          <w:rtl w:val="0"/>
          <w:lang w:val="en-US"/>
        </w:rPr>
        <w:t>z</w:t>
      </w:r>
      <w:r>
        <w:rPr>
          <w:rStyle w:val="None"/>
          <w:rFonts w:ascii="Times New Roman" w:hAnsi="Times New Roman"/>
          <w:sz w:val="28"/>
          <w:szCs w:val="28"/>
          <w:rtl w:val="0"/>
          <w:lang w:val="en-US"/>
        </w:rPr>
        <w:t>ing in Italian wine.</w:t>
      </w:r>
    </w:p>
    <w:p>
      <w:pPr>
        <w:pStyle w:val="Body A A"/>
        <w:jc w:val="both"/>
        <w:rPr>
          <w:rStyle w:val="None"/>
          <w:rFonts w:ascii="Times New Roman" w:cs="Times New Roman" w:hAnsi="Times New Roman" w:eastAsia="Times New Roman"/>
          <w:sz w:val="28"/>
          <w:szCs w:val="28"/>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rtl w:val="0"/>
          <w:lang w:val="en-US"/>
        </w:rPr>
        <w:t>The VIA Certification Course caters to all these professional categories, as it r</w:t>
      </w:r>
      <w:r>
        <w:rPr>
          <w:rStyle w:val="None"/>
          <w:rFonts w:ascii="Times New Roman" w:hAnsi="Times New Roman"/>
          <w:sz w:val="28"/>
          <w:szCs w:val="28"/>
          <w:shd w:val="clear" w:color="auto" w:fill="fefefe"/>
          <w:rtl w:val="0"/>
          <w:lang w:val="en-US"/>
        </w:rPr>
        <w:t>epresents the one and only opportunity to gain extensive and in-depth knowledge on the vast subject of Italian grapes and wines. For instance, the three most acclaimed wine professionals in China</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Lu Yang MS, Sarah Heller MW and Fongyee Walker MW</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 xml:space="preserve">have successfully become Italian Wine Ambassadors during past VIA editions in Verona. Lu Yang, corporate wine director for Shangri-la Hotel group has just been awarded the Master of Sommelier qualification (MS) by the Court of Master of Sommeliers in August. Likewise, journalist and consultant Sarah Heller has just been awarded the Master of Wine qualification (MW) earlier this week by the Institute of Masters of Wine, so has been Fongyee Walker, the Dragon Phoenix Wine Consulting co-founder, last year. </w:t>
      </w:r>
    </w:p>
    <w:p>
      <w:pPr>
        <w:pStyle w:val="Body A A"/>
        <w:jc w:val="both"/>
        <w:rPr>
          <w:rStyle w:val="None"/>
          <w:rFonts w:ascii="Arial Unicode MS" w:cs="Arial Unicode MS" w:hAnsi="Arial Unicode MS" w:eastAsia="Arial Unicode MS"/>
          <w:sz w:val="28"/>
          <w:szCs w:val="28"/>
          <w:shd w:val="clear" w:color="auto" w:fill="fefefe"/>
          <w:lang w:val="en-US"/>
        </w:rPr>
      </w:pPr>
    </w:p>
    <w:p>
      <w:pPr>
        <w:pStyle w:val="Body A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shd w:val="clear" w:color="auto" w:fill="fefefe"/>
          <w:rtl w:val="0"/>
          <w:lang w:val="en-US"/>
        </w:rPr>
        <w:t xml:space="preserve">At the end of the Chinese editions, VIA welcomed nine new IWAs from Beijing and six new IWAs from Shanghai (See full lists below). </w:t>
      </w:r>
      <w:r>
        <w:rPr>
          <w:rStyle w:val="None"/>
          <w:rFonts w:ascii="Times New Roman" w:hAnsi="Times New Roman"/>
          <w:sz w:val="28"/>
          <w:szCs w:val="28"/>
          <w:rtl w:val="0"/>
          <w:lang w:val="en-US"/>
        </w:rPr>
        <w:t>Currently, VIA is home to two IWEs and 32</w:t>
      </w:r>
      <w:r>
        <w:rPr>
          <w:rStyle w:val="None"/>
          <w:rFonts w:ascii="Times New Roman" w:hAnsi="Times New Roman"/>
          <w:color w:val="ff644e"/>
          <w:sz w:val="28"/>
          <w:szCs w:val="28"/>
          <w:u w:color="ff644e"/>
          <w:rtl w:val="0"/>
          <w:lang w:val="en-US"/>
        </w:rPr>
        <w:t xml:space="preserve"> </w:t>
      </w:r>
      <w:r>
        <w:rPr>
          <w:rStyle w:val="None"/>
          <w:rFonts w:ascii="Times New Roman" w:hAnsi="Times New Roman"/>
          <w:sz w:val="28"/>
          <w:szCs w:val="28"/>
          <w:rtl w:val="0"/>
          <w:lang w:val="en-US"/>
        </w:rPr>
        <w:t xml:space="preserve">IWAs from USA, and two IWEs and 31 IWAs from the Greater China area. </w:t>
      </w:r>
      <w:r>
        <w:rPr>
          <w:rStyle w:val="None"/>
          <w:rFonts w:ascii="Times New Roman" w:hAnsi="Times New Roman"/>
          <w:sz w:val="28"/>
          <w:szCs w:val="28"/>
          <w:shd w:val="clear" w:color="auto" w:fill="fefefe"/>
          <w:rtl w:val="0"/>
          <w:lang w:val="en-US"/>
        </w:rPr>
        <w:t xml:space="preserve">In total VIA counts </w:t>
      </w:r>
      <w:r>
        <w:rPr>
          <w:rStyle w:val="None"/>
          <w:rFonts w:ascii="Times New Roman" w:hAnsi="Times New Roman"/>
          <w:sz w:val="28"/>
          <w:szCs w:val="28"/>
          <w:rtl w:val="0"/>
          <w:lang w:val="en-US"/>
        </w:rPr>
        <w:t>114 IWAs,</w:t>
      </w:r>
      <w:r>
        <w:rPr>
          <w:rStyle w:val="None"/>
          <w:rFonts w:ascii="Times New Roman" w:hAnsi="Times New Roman"/>
          <w:color w:val="ff644e"/>
          <w:sz w:val="28"/>
          <w:szCs w:val="28"/>
          <w:u w:color="ff644e"/>
          <w:rtl w:val="0"/>
          <w:lang w:val="en-US"/>
        </w:rPr>
        <w:t xml:space="preserve"> </w:t>
      </w:r>
      <w:r>
        <w:rPr>
          <w:rStyle w:val="None"/>
          <w:rFonts w:ascii="Times New Roman" w:hAnsi="Times New Roman"/>
          <w:sz w:val="28"/>
          <w:szCs w:val="28"/>
          <w:rtl w:val="0"/>
          <w:lang w:val="en-US"/>
        </w:rPr>
        <w:t>seven of which are Italian Wine Experts (IWEs), the highest certification.</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en-US"/>
        </w:rPr>
        <w:t>Full list of the six newly certified Italian Wine Ambassador Shanghai Edition 2017</w:t>
      </w:r>
    </w:p>
    <w:p>
      <w:pPr>
        <w:pStyle w:val="Default"/>
        <w:jc w:val="both"/>
        <w:rPr>
          <w:rStyle w:val="None"/>
          <w:rFonts w:ascii="Times New Roman" w:cs="Times New Roman" w:hAnsi="Times New Roman" w:eastAsia="Times New Roman"/>
          <w:b w:val="1"/>
          <w:bCs w:val="1"/>
          <w:sz w:val="28"/>
          <w:szCs w:val="28"/>
          <w:lang w:val="en-US"/>
        </w:rPr>
      </w:pP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Shelly Lee, Wine Education Director at Shanghai Revive</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Ifan Wang, Wine Sales at Sarment</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 xml:space="preserve">Catherine Yen, Wine educator and MW candidate. Panel judge for Decanter Asia Wine Challenge. </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Ping Yang, Wine Educator at Asia Wine Service &amp; Education Centre, China Wine &amp; Spirits Awards official judge for 2015</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Mingxu Tu, Food &amp; Wine Importer and Distributor at Quarto Products</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Rinya Jiang, Wine Trainer at Summergate Fine Wines, CMS certified sommelier</w:t>
      </w:r>
    </w:p>
    <w:p>
      <w:pPr>
        <w:pStyle w:val="Default"/>
        <w:jc w:val="both"/>
        <w:rPr>
          <w:rStyle w:val="None"/>
          <w:rFonts w:ascii="Times New Roman" w:cs="Times New Roman" w:hAnsi="Times New Roman" w:eastAsia="Times New Roman"/>
          <w:b w:val="1"/>
          <w:bCs w:val="1"/>
          <w:sz w:val="28"/>
          <w:szCs w:val="28"/>
          <w:lang w:val="en-US"/>
        </w:rPr>
      </w:pPr>
    </w:p>
    <w:p>
      <w:pPr>
        <w:pStyle w:val="Default"/>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en-US"/>
        </w:rPr>
        <w:t>Full list of the nine newly certified Italian Wine Ambassador Beijing Edition 2017</w:t>
      </w:r>
    </w:p>
    <w:p>
      <w:pPr>
        <w:pStyle w:val="Default"/>
        <w:jc w:val="both"/>
        <w:rPr>
          <w:rStyle w:val="None"/>
          <w:rFonts w:ascii="Times New Roman" w:cs="Times New Roman" w:hAnsi="Times New Roman" w:eastAsia="Times New Roman"/>
          <w:b w:val="1"/>
          <w:bCs w:val="1"/>
          <w:sz w:val="28"/>
          <w:szCs w:val="28"/>
          <w:lang w:val="en-US"/>
        </w:rPr>
      </w:pP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Heng Gui, Wine Educator at North China</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Xiang Li, Wine Educator at East Meet West Fine Wine</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Junjie Shi, Wine Educator at EWM Trading Company Limited Shenzhen</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Daria Vereshchagina, Director of LLC Mistral restaurant and Head sommelier at DOM</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Jun Wei, Wine Educator at Tasting Annex Wine &amp; Spirit Consultants</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Wei Xing, Wine Educator at Dragon Phoenix Wine Consulting</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Ning Yi, Chief Educator at Tasting AnnexWine&amp;Spirit Consultants</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Mi Zhu, Wine buyer at Amazon China</w:t>
      </w:r>
    </w:p>
    <w:p>
      <w:pPr>
        <w:pStyle w:val="Default"/>
        <w:numPr>
          <w:ilvl w:val="0"/>
          <w:numId w:val="2"/>
        </w:numPr>
        <w:bidi w:val="0"/>
        <w:ind w:right="0"/>
        <w:jc w:val="both"/>
        <w:rPr>
          <w:rStyle w:val="None"/>
          <w:rFonts w:ascii="Times New Roman" w:cs="Times New Roman" w:hAnsi="Times New Roman" w:eastAsia="Times New Roman"/>
          <w:b w:val="1"/>
          <w:bCs w:val="1"/>
          <w:sz w:val="28"/>
          <w:szCs w:val="28"/>
          <w:rtl w:val="0"/>
          <w:lang w:val="en-US"/>
        </w:rPr>
      </w:pPr>
      <w:r>
        <w:rPr>
          <w:rStyle w:val="None"/>
          <w:rFonts w:ascii="Times New Roman" w:hAnsi="Times New Roman"/>
          <w:b w:val="1"/>
          <w:bCs w:val="1"/>
          <w:sz w:val="28"/>
          <w:szCs w:val="28"/>
          <w:rtl w:val="0"/>
          <w:lang w:val="en-US"/>
        </w:rPr>
        <w:t xml:space="preserve">Jia Liu, Wine Educator and Self-Media Italian Wine Tour Blog Writer </w:t>
      </w:r>
    </w:p>
    <w:p>
      <w:pPr>
        <w:pStyle w:val="Default"/>
        <w:jc w:val="both"/>
        <w:rPr>
          <w:rStyle w:val="None"/>
          <w:rFonts w:ascii="Times New Roman" w:cs="Times New Roman" w:hAnsi="Times New Roman" w:eastAsia="Times New Roman"/>
          <w:color w:val="ff644e"/>
          <w:sz w:val="28"/>
          <w:szCs w:val="28"/>
          <w:u w:color="ff644e"/>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The next stop of the Vinitaly International Academy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worldwide tour will be in San Francisco, U.S., from the 16th to the 20th of October. For more details about the VIA Certification Course and all the Ambassadors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BIO see:</w:t>
      </w:r>
    </w:p>
    <w:p>
      <w:pPr>
        <w:pStyle w:val="Default"/>
        <w:jc w:val="both"/>
        <w:rPr>
          <w:rStyle w:val="None"/>
          <w:rFonts w:ascii="Times New Roman" w:cs="Times New Roman" w:hAnsi="Times New Roman" w:eastAsia="Times New Roman"/>
          <w:sz w:val="28"/>
          <w:szCs w:val="28"/>
          <w:lang w:val="en-US"/>
        </w:rPr>
      </w:pPr>
      <w:r>
        <w:rPr>
          <w:rStyle w:val="Hyperlink.2"/>
          <w:rFonts w:ascii="Times New Roman" w:cs="Times New Roman" w:hAnsi="Times New Roman" w:eastAsia="Times New Roman"/>
          <w:color w:val="0432fe"/>
          <w:sz w:val="28"/>
          <w:szCs w:val="28"/>
          <w:u w:val="single" w:color="0432fe"/>
          <w:lang w:val="en-US"/>
        </w:rPr>
        <w:fldChar w:fldCharType="begin" w:fldLock="0"/>
      </w:r>
      <w:r>
        <w:rPr>
          <w:rStyle w:val="Hyperlink.2"/>
          <w:rFonts w:ascii="Times New Roman" w:cs="Times New Roman" w:hAnsi="Times New Roman" w:eastAsia="Times New Roman"/>
          <w:color w:val="0432fe"/>
          <w:sz w:val="28"/>
          <w:szCs w:val="28"/>
          <w:u w:val="single" w:color="0432fe"/>
          <w:lang w:val="en-US"/>
        </w:rPr>
        <w:instrText xml:space="preserve"> HYPERLINK "http://www.vinitalyinternational.com/vinitaly-international-academy/candidates"</w:instrText>
      </w:r>
      <w:r>
        <w:rPr>
          <w:rStyle w:val="Hyperlink.2"/>
          <w:rFonts w:ascii="Times New Roman" w:cs="Times New Roman" w:hAnsi="Times New Roman" w:eastAsia="Times New Roman"/>
          <w:color w:val="0432fe"/>
          <w:sz w:val="28"/>
          <w:szCs w:val="28"/>
          <w:u w:val="single" w:color="0432fe"/>
          <w:lang w:val="en-US"/>
        </w:rPr>
        <w:fldChar w:fldCharType="separate" w:fldLock="0"/>
      </w:r>
      <w:r>
        <w:rPr>
          <w:rStyle w:val="Hyperlink.2"/>
          <w:rFonts w:ascii="Times New Roman" w:hAnsi="Times New Roman"/>
          <w:color w:val="0432fe"/>
          <w:sz w:val="28"/>
          <w:szCs w:val="28"/>
          <w:u w:val="single" w:color="0432fe"/>
          <w:rtl w:val="0"/>
          <w:lang w:val="en-US"/>
        </w:rPr>
        <w:t>http://www.vinitalyinternational.com/vinitaly-international-academy/candidates</w:t>
      </w:r>
      <w:r>
        <w:rPr>
          <w:lang w:val="en-US"/>
        </w:rPr>
        <w:fldChar w:fldCharType="end" w:fldLock="0"/>
      </w:r>
      <w:r>
        <w:rPr>
          <w:rStyle w:val="None"/>
          <w:rFonts w:ascii="Times New Roman" w:hAnsi="Times New Roman"/>
          <w:sz w:val="28"/>
          <w:szCs w:val="28"/>
          <w:rtl w:val="0"/>
          <w:lang w:val="en-US"/>
        </w:rPr>
        <w:t xml:space="preserve"> </w:t>
      </w:r>
    </w:p>
    <w:p>
      <w:pPr>
        <w:pStyle w:val="Default"/>
        <w:jc w:val="both"/>
        <w:rPr>
          <w:rStyle w:val="None"/>
          <w:rFonts w:ascii="Times New Roman" w:cs="Times New Roman" w:hAnsi="Times New Roman" w:eastAsia="Times New Roman"/>
          <w:sz w:val="28"/>
          <w:szCs w:val="28"/>
          <w:lang w:val="en-US"/>
        </w:rPr>
      </w:pPr>
      <w:r>
        <w:rPr>
          <w:rStyle w:val="Hyperlink.2"/>
          <w:rFonts w:ascii="Times New Roman" w:cs="Times New Roman" w:hAnsi="Times New Roman" w:eastAsia="Times New Roman"/>
          <w:color w:val="0432fe"/>
          <w:sz w:val="28"/>
          <w:szCs w:val="28"/>
          <w:u w:val="single" w:color="0432fe"/>
          <w:lang w:val="en-US"/>
        </w:rPr>
        <w:fldChar w:fldCharType="begin" w:fldLock="0"/>
      </w:r>
      <w:r>
        <w:rPr>
          <w:rStyle w:val="Hyperlink.2"/>
          <w:rFonts w:ascii="Times New Roman" w:cs="Times New Roman" w:hAnsi="Times New Roman" w:eastAsia="Times New Roman"/>
          <w:color w:val="0432fe"/>
          <w:sz w:val="28"/>
          <w:szCs w:val="28"/>
          <w:u w:val="single" w:color="0432fe"/>
          <w:lang w:val="en-US"/>
        </w:rPr>
        <w:instrText xml:space="preserve"> HYPERLINK "http://www.vinitalyinternational.com/images/via/next_course_2017.pdf"</w:instrText>
      </w:r>
      <w:r>
        <w:rPr>
          <w:rStyle w:val="Hyperlink.2"/>
          <w:rFonts w:ascii="Times New Roman" w:cs="Times New Roman" w:hAnsi="Times New Roman" w:eastAsia="Times New Roman"/>
          <w:color w:val="0432fe"/>
          <w:sz w:val="28"/>
          <w:szCs w:val="28"/>
          <w:u w:val="single" w:color="0432fe"/>
          <w:lang w:val="en-US"/>
        </w:rPr>
        <w:fldChar w:fldCharType="separate" w:fldLock="0"/>
      </w:r>
      <w:r>
        <w:rPr>
          <w:rStyle w:val="Hyperlink.2"/>
          <w:rFonts w:ascii="Times New Roman" w:hAnsi="Times New Roman"/>
          <w:color w:val="0432fe"/>
          <w:sz w:val="28"/>
          <w:szCs w:val="28"/>
          <w:u w:val="single" w:color="0432fe"/>
          <w:rtl w:val="0"/>
          <w:lang w:val="en-US"/>
        </w:rPr>
        <w:t>http://www.vinitalyinternational.com/images/via/next_course_2017.pdf</w:t>
      </w:r>
      <w:r>
        <w:rPr>
          <w:lang w:val="en-US"/>
        </w:rPr>
        <w:fldChar w:fldCharType="end" w:fldLock="0"/>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 114 Italian Wine Ambassadors,</w:t>
      </w:r>
      <w:r>
        <w:rPr>
          <w:rStyle w:val="None"/>
          <w:color w:val="ff644e"/>
          <w:sz w:val="28"/>
          <w:szCs w:val="28"/>
          <w:u w:color="ff644e"/>
          <w:rtl w:val="0"/>
          <w:lang w:val="en-US"/>
        </w:rPr>
        <w:t xml:space="preserve"> </w:t>
      </w:r>
      <w:r>
        <w:rPr>
          <w:rStyle w:val="None"/>
          <w:sz w:val="28"/>
          <w:szCs w:val="28"/>
          <w:rtl w:val="0"/>
          <w:lang w:val="en-US"/>
        </w:rPr>
        <w:t xml:space="preserve">7 of which are Italian Wine Experts. </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lang w:val="it-IT"/>
    </w:rPr>
  </w:style>
  <w:style w:type="character" w:styleId="Hyperlink.1">
    <w:name w:val="Hyperlink.1"/>
    <w:basedOn w:val="None"/>
    <w:next w:val="Hyperlink.1"/>
    <w:rPr>
      <w:rFonts w:ascii="Arial" w:cs="Arial" w:hAnsi="Arial" w:eastAsia="Arial"/>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numbering" w:styleId="Bullets">
    <w:name w:val="Bullets"/>
    <w:pPr>
      <w:numPr>
        <w:numId w:val="1"/>
      </w:numPr>
    </w:pPr>
  </w:style>
  <w:style w:type="character" w:styleId="Hyperlink.2">
    <w:name w:val="Hyperlink.2"/>
    <w:basedOn w:val="None"/>
    <w:next w:val="Hyperlink.2"/>
    <w:rPr>
      <w:rFonts w:ascii="Times New Roman" w:cs="Times New Roman" w:hAnsi="Times New Roman" w:eastAsia="Times New Roman"/>
      <w:color w:val="0432fe"/>
      <w:sz w:val="28"/>
      <w:szCs w:val="28"/>
      <w:u w:val="single" w:color="0432f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