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7E0" w:rsidRPr="00BF7A26" w:rsidRDefault="00456973">
      <w:pPr>
        <w:rPr>
          <w:rFonts w:ascii="Palatino Linotype" w:hAnsi="Palatino Linotype"/>
          <w:b/>
        </w:rPr>
      </w:pPr>
      <w:r>
        <w:rPr>
          <w:rFonts w:ascii="Palatino Linotype" w:hAnsi="Palatino Linotype"/>
          <w:b/>
        </w:rPr>
        <w:t>Solution</w:t>
      </w:r>
      <w:r w:rsidR="001B7749" w:rsidRPr="00BF7A26">
        <w:rPr>
          <w:rFonts w:ascii="Palatino Linotype" w:hAnsi="Palatino Linotype"/>
          <w:b/>
        </w:rPr>
        <w:t xml:space="preserve"> Brief</w:t>
      </w:r>
    </w:p>
    <w:p w:rsidR="00D70D07" w:rsidRPr="00D70D07" w:rsidRDefault="00E64A8D" w:rsidP="00D70D07">
      <w:pPr>
        <w:rPr>
          <w:rFonts w:ascii="Palatino Linotype" w:hAnsi="Palatino Linotype" w:cs="TrebuchetMS-Bold"/>
          <w:b/>
          <w:bCs/>
          <w:color w:val="0070C0"/>
          <w:sz w:val="28"/>
          <w:szCs w:val="32"/>
        </w:rPr>
      </w:pPr>
      <w:r>
        <w:rPr>
          <w:rFonts w:ascii="Palatino Linotype" w:hAnsi="Palatino Linotype" w:cs="TrebuchetMS-Bold"/>
          <w:b/>
          <w:bCs/>
          <w:color w:val="0070C0"/>
          <w:sz w:val="28"/>
          <w:szCs w:val="32"/>
        </w:rPr>
        <w:t xml:space="preserve">Gladinet Cloud </w:t>
      </w:r>
      <w:r w:rsidR="00D70D07">
        <w:rPr>
          <w:rFonts w:ascii="Palatino Linotype" w:hAnsi="Palatino Linotype" w:cs="TrebuchetMS-Bold"/>
          <w:b/>
          <w:bCs/>
          <w:color w:val="0070C0"/>
          <w:sz w:val="28"/>
          <w:szCs w:val="32"/>
        </w:rPr>
        <w:t xml:space="preserve">Private </w:t>
      </w:r>
      <w:r>
        <w:rPr>
          <w:rFonts w:ascii="Palatino Linotype" w:hAnsi="Palatino Linotype" w:cs="TrebuchetMS-Bold"/>
          <w:b/>
          <w:bCs/>
          <w:color w:val="0070C0"/>
          <w:sz w:val="28"/>
          <w:szCs w:val="32"/>
        </w:rPr>
        <w:t>Access</w:t>
      </w:r>
      <w:r w:rsidR="0034480E">
        <w:rPr>
          <w:rStyle w:val="Heading1Char"/>
        </w:rPr>
        <w:t xml:space="preserve"> Solutions</w:t>
      </w:r>
    </w:p>
    <w:p w:rsidR="001C7DDF" w:rsidRDefault="00E64A8D" w:rsidP="00E64A8D">
      <w:pPr>
        <w:autoSpaceDE w:val="0"/>
        <w:autoSpaceDN w:val="0"/>
        <w:adjustRightInd w:val="0"/>
        <w:spacing w:after="0" w:line="240" w:lineRule="auto"/>
        <w:rPr>
          <w:rFonts w:ascii="Palatino Linotype" w:hAnsi="Palatino Linotype" w:cs="TrebuchetMS"/>
          <w:color w:val="66664F"/>
          <w:sz w:val="18"/>
          <w:szCs w:val="18"/>
        </w:rPr>
      </w:pPr>
      <w:r w:rsidRPr="00D70D07">
        <w:rPr>
          <w:rFonts w:ascii="Palatino Linotype" w:hAnsi="Palatino Linotype" w:cs="TrebuchetMS"/>
          <w:color w:val="66664F"/>
          <w:sz w:val="18"/>
          <w:szCs w:val="18"/>
        </w:rPr>
        <w:t xml:space="preserve">Despite the potential benefits of adopting cloud storage, many enterprises are faced with concerns about security, data control and the ease of migrating existing data and users. They </w:t>
      </w:r>
      <w:r w:rsidR="00D70D07" w:rsidRPr="00D70D07">
        <w:rPr>
          <w:rFonts w:ascii="Palatino Linotype" w:hAnsi="Palatino Linotype" w:cs="TrebuchetMS"/>
          <w:color w:val="66664F"/>
          <w:sz w:val="18"/>
          <w:szCs w:val="18"/>
        </w:rPr>
        <w:t>must ensure the security and accessibility</w:t>
      </w:r>
      <w:r w:rsidRPr="00D70D07">
        <w:rPr>
          <w:rFonts w:ascii="Palatino Linotype" w:hAnsi="Palatino Linotype" w:cs="TrebuchetMS"/>
          <w:color w:val="66664F"/>
          <w:sz w:val="18"/>
          <w:szCs w:val="18"/>
        </w:rPr>
        <w:t xml:space="preserve"> </w:t>
      </w:r>
      <w:r w:rsidR="00D70D07" w:rsidRPr="00D70D07">
        <w:rPr>
          <w:rFonts w:ascii="Palatino Linotype" w:hAnsi="Palatino Linotype" w:cs="TrebuchetMS"/>
          <w:color w:val="66664F"/>
          <w:sz w:val="18"/>
          <w:szCs w:val="18"/>
        </w:rPr>
        <w:t xml:space="preserve">of </w:t>
      </w:r>
      <w:r w:rsidRPr="00D70D07">
        <w:rPr>
          <w:rFonts w:ascii="Palatino Linotype" w:hAnsi="Palatino Linotype" w:cs="TrebuchetMS"/>
          <w:color w:val="66664F"/>
          <w:sz w:val="18"/>
          <w:szCs w:val="18"/>
        </w:rPr>
        <w:t xml:space="preserve">data </w:t>
      </w:r>
      <w:r w:rsidR="00D70D07" w:rsidRPr="00D70D07">
        <w:rPr>
          <w:rFonts w:ascii="Palatino Linotype" w:hAnsi="Palatino Linotype" w:cs="TrebuchetMS"/>
          <w:color w:val="66664F"/>
          <w:sz w:val="18"/>
          <w:szCs w:val="18"/>
        </w:rPr>
        <w:t>while making the cloud</w:t>
      </w:r>
      <w:r w:rsidRPr="00D70D07">
        <w:rPr>
          <w:rFonts w:ascii="Palatino Linotype" w:hAnsi="Palatino Linotype" w:cs="TrebuchetMS"/>
          <w:color w:val="66664F"/>
          <w:sz w:val="18"/>
          <w:szCs w:val="18"/>
        </w:rPr>
        <w:t xml:space="preserve"> </w:t>
      </w:r>
      <w:r w:rsidR="00D70D07" w:rsidRPr="00D70D07">
        <w:rPr>
          <w:rFonts w:ascii="Palatino Linotype" w:hAnsi="Palatino Linotype" w:cs="TrebuchetMS"/>
          <w:color w:val="66664F"/>
          <w:sz w:val="18"/>
          <w:szCs w:val="18"/>
        </w:rPr>
        <w:t>migration as s</w:t>
      </w:r>
      <w:r w:rsidRPr="00D70D07">
        <w:rPr>
          <w:rFonts w:ascii="Palatino Linotype" w:hAnsi="Palatino Linotype" w:cs="TrebuchetMS"/>
          <w:color w:val="66664F"/>
          <w:sz w:val="18"/>
          <w:szCs w:val="18"/>
        </w:rPr>
        <w:t xml:space="preserve">eamless as possible. </w:t>
      </w:r>
      <w:r w:rsidR="00D70D07" w:rsidRPr="00D70D07">
        <w:rPr>
          <w:rFonts w:ascii="Palatino Linotype" w:hAnsi="Palatino Linotype" w:cs="TrebuchetMS"/>
          <w:color w:val="66664F"/>
          <w:sz w:val="18"/>
          <w:szCs w:val="18"/>
        </w:rPr>
        <w:t xml:space="preserve"> Generally, e</w:t>
      </w:r>
      <w:r w:rsidRPr="00D70D07">
        <w:rPr>
          <w:rFonts w:ascii="Palatino Linotype" w:hAnsi="Palatino Linotype" w:cs="TrebuchetMS"/>
          <w:color w:val="66664F"/>
          <w:sz w:val="18"/>
          <w:szCs w:val="18"/>
        </w:rPr>
        <w:t>nterprise IT admins are looking for a solution to this problem: Secure cloud storage</w:t>
      </w:r>
      <w:r w:rsidR="00EC1FC6" w:rsidRPr="00D70D07">
        <w:rPr>
          <w:rFonts w:ascii="Palatino Linotype" w:hAnsi="Palatino Linotype" w:cs="TrebuchetMS"/>
          <w:color w:val="66664F"/>
          <w:sz w:val="18"/>
          <w:szCs w:val="18"/>
        </w:rPr>
        <w:t xml:space="preserve"> </w:t>
      </w:r>
      <w:r w:rsidRPr="00D70D07">
        <w:rPr>
          <w:rFonts w:ascii="Palatino Linotype" w:hAnsi="Palatino Linotype" w:cs="TrebuchetMS"/>
          <w:color w:val="66664F"/>
          <w:sz w:val="18"/>
          <w:szCs w:val="18"/>
        </w:rPr>
        <w:t>with a simple access model and non-disruptive migration path.</w:t>
      </w:r>
      <w:r w:rsidR="00D70D07" w:rsidRPr="00D70D07">
        <w:rPr>
          <w:rFonts w:ascii="Palatino Linotype" w:hAnsi="Palatino Linotype" w:cs="TrebuchetMS"/>
          <w:color w:val="66664F"/>
          <w:sz w:val="18"/>
          <w:szCs w:val="18"/>
        </w:rPr>
        <w:t xml:space="preserve"> More specifically, they may be</w:t>
      </w:r>
      <w:r w:rsidR="001C7DDF" w:rsidRPr="00D70D07">
        <w:rPr>
          <w:rFonts w:ascii="Palatino Linotype" w:hAnsi="Palatino Linotype" w:cs="TrebuchetMS"/>
          <w:color w:val="66664F"/>
          <w:sz w:val="18"/>
          <w:szCs w:val="18"/>
        </w:rPr>
        <w:t xml:space="preserve"> looking for solutions to </w:t>
      </w:r>
      <w:r w:rsidR="00D70D07" w:rsidRPr="00D70D07">
        <w:rPr>
          <w:rFonts w:ascii="Palatino Linotype" w:hAnsi="Palatino Linotype" w:cs="TrebuchetMS"/>
          <w:color w:val="66664F"/>
          <w:sz w:val="18"/>
          <w:szCs w:val="18"/>
        </w:rPr>
        <w:t xml:space="preserve">any of </w:t>
      </w:r>
      <w:r w:rsidR="001C7DDF" w:rsidRPr="00D70D07">
        <w:rPr>
          <w:rFonts w:ascii="Palatino Linotype" w:hAnsi="Palatino Linotype" w:cs="TrebuchetMS"/>
          <w:color w:val="66664F"/>
          <w:sz w:val="18"/>
          <w:szCs w:val="18"/>
        </w:rPr>
        <w:t>the following problems.</w:t>
      </w:r>
    </w:p>
    <w:p w:rsidR="00D70D07" w:rsidRPr="00D70D07" w:rsidRDefault="00D70D07" w:rsidP="00E64A8D">
      <w:pPr>
        <w:autoSpaceDE w:val="0"/>
        <w:autoSpaceDN w:val="0"/>
        <w:adjustRightInd w:val="0"/>
        <w:spacing w:after="0" w:line="240" w:lineRule="auto"/>
        <w:rPr>
          <w:rFonts w:ascii="Palatino Linotype" w:hAnsi="Palatino Linotype" w:cs="TrebuchetMS"/>
          <w:color w:val="66664F"/>
          <w:sz w:val="18"/>
          <w:szCs w:val="18"/>
        </w:rPr>
      </w:pPr>
    </w:p>
    <w:p w:rsidR="001C7DDF" w:rsidRDefault="00D70D07" w:rsidP="00EE3D3A">
      <w:pPr>
        <w:pStyle w:val="Heading3"/>
      </w:pPr>
      <w:r>
        <w:t xml:space="preserve">Private </w:t>
      </w:r>
      <w:r w:rsidR="001C7DDF">
        <w:t>Cloud Storage Access</w:t>
      </w:r>
    </w:p>
    <w:p w:rsidR="00EE3D3A" w:rsidRPr="00D70D07" w:rsidRDefault="00D70D07" w:rsidP="00D70D07">
      <w:pPr>
        <w:rPr>
          <w:rFonts w:ascii="Palatino Linotype" w:hAnsi="Palatino Linotype" w:cs="TrebuchetMS"/>
          <w:color w:val="66664F"/>
          <w:sz w:val="18"/>
          <w:szCs w:val="18"/>
        </w:rPr>
      </w:pPr>
      <w:r w:rsidRPr="00D70D07">
        <w:rPr>
          <w:rFonts w:ascii="Palatino Linotype" w:hAnsi="Palatino Linotype" w:cs="TrebuchetMS"/>
          <w:color w:val="66664F"/>
          <w:sz w:val="18"/>
          <w:szCs w:val="18"/>
        </w:rPr>
        <w:t>A successful</w:t>
      </w:r>
      <w:r w:rsidR="000132A2" w:rsidRPr="00D70D07">
        <w:rPr>
          <w:rFonts w:ascii="Palatino Linotype" w:hAnsi="Palatino Linotype" w:cs="TrebuchetMS"/>
          <w:color w:val="66664F"/>
          <w:sz w:val="18"/>
          <w:szCs w:val="18"/>
        </w:rPr>
        <w:t xml:space="preserve"> </w:t>
      </w:r>
      <w:r w:rsidRPr="00D70D07">
        <w:rPr>
          <w:rFonts w:ascii="Palatino Linotype" w:hAnsi="Palatino Linotype" w:cs="TrebuchetMS"/>
          <w:color w:val="66664F"/>
          <w:sz w:val="18"/>
          <w:szCs w:val="18"/>
        </w:rPr>
        <w:t xml:space="preserve">private </w:t>
      </w:r>
      <w:r w:rsidR="000132A2" w:rsidRPr="00D70D07">
        <w:rPr>
          <w:rFonts w:ascii="Palatino Linotype" w:hAnsi="Palatino Linotype" w:cs="TrebuchetMS"/>
          <w:color w:val="66664F"/>
          <w:sz w:val="18"/>
          <w:szCs w:val="18"/>
        </w:rPr>
        <w:t>cloud stora</w:t>
      </w:r>
      <w:r w:rsidR="00EE3D3A" w:rsidRPr="00D70D07">
        <w:rPr>
          <w:rFonts w:ascii="Palatino Linotype" w:hAnsi="Palatino Linotype" w:cs="TrebuchetMS"/>
          <w:color w:val="66664F"/>
          <w:sz w:val="18"/>
          <w:szCs w:val="18"/>
        </w:rPr>
        <w:t>ge solution</w:t>
      </w:r>
      <w:r>
        <w:rPr>
          <w:rFonts w:ascii="Palatino Linotype" w:hAnsi="Palatino Linotype" w:cs="TrebuchetMS"/>
          <w:color w:val="66664F"/>
          <w:sz w:val="18"/>
          <w:szCs w:val="18"/>
        </w:rPr>
        <w:t xml:space="preserve"> must provide simple access methods</w:t>
      </w:r>
      <w:r w:rsidR="00EE3D3A" w:rsidRPr="00D70D07">
        <w:rPr>
          <w:rFonts w:ascii="Palatino Linotype" w:hAnsi="Palatino Linotype" w:cs="TrebuchetMS"/>
          <w:color w:val="66664F"/>
          <w:sz w:val="18"/>
          <w:szCs w:val="18"/>
        </w:rPr>
        <w:t xml:space="preserve"> for the BASIC use cases</w:t>
      </w:r>
      <w:r w:rsidRPr="00D70D07">
        <w:rPr>
          <w:rFonts w:ascii="Palatino Linotype" w:hAnsi="Palatino Linotype" w:cs="TrebuchetMS"/>
          <w:color w:val="66664F"/>
          <w:sz w:val="18"/>
          <w:szCs w:val="18"/>
        </w:rPr>
        <w:t xml:space="preserve">. </w:t>
      </w:r>
      <w:r w:rsidRPr="004374FA">
        <w:rPr>
          <w:rFonts w:ascii="Palatino Linotype" w:hAnsi="Palatino Linotype" w:cs="TrebuchetMS"/>
          <w:color w:val="66664F"/>
          <w:sz w:val="18"/>
          <w:szCs w:val="18"/>
        </w:rPr>
        <w:t xml:space="preserve">These include </w:t>
      </w:r>
      <w:r w:rsidRPr="004374FA">
        <w:rPr>
          <w:rFonts w:ascii="Palatino Linotype" w:hAnsi="Palatino Linotype" w:cs="TrebuchetMS"/>
          <w:b/>
          <w:color w:val="66664F"/>
          <w:sz w:val="18"/>
          <w:szCs w:val="18"/>
          <w:u w:val="single"/>
        </w:rPr>
        <w:t>b</w:t>
      </w:r>
      <w:r w:rsidRPr="004374FA">
        <w:rPr>
          <w:rFonts w:ascii="Palatino Linotype" w:hAnsi="Palatino Linotype" w:cs="TrebuchetMS"/>
          <w:color w:val="66664F"/>
          <w:sz w:val="18"/>
          <w:szCs w:val="18"/>
        </w:rPr>
        <w:t xml:space="preserve">ackup, </w:t>
      </w:r>
      <w:r w:rsidRPr="004374FA">
        <w:rPr>
          <w:rFonts w:ascii="Palatino Linotype" w:hAnsi="Palatino Linotype" w:cs="TrebuchetMS"/>
          <w:b/>
          <w:color w:val="66664F"/>
          <w:sz w:val="18"/>
          <w:szCs w:val="18"/>
          <w:u w:val="single"/>
        </w:rPr>
        <w:t>a</w:t>
      </w:r>
      <w:r w:rsidRPr="004374FA">
        <w:rPr>
          <w:rFonts w:ascii="Palatino Linotype" w:hAnsi="Palatino Linotype" w:cs="TrebuchetMS"/>
          <w:color w:val="66664F"/>
          <w:sz w:val="18"/>
          <w:szCs w:val="18"/>
        </w:rPr>
        <w:t xml:space="preserve">ccess, </w:t>
      </w:r>
      <w:r w:rsidRPr="004374FA">
        <w:rPr>
          <w:rFonts w:ascii="Palatino Linotype" w:hAnsi="Palatino Linotype" w:cs="TrebuchetMS"/>
          <w:b/>
          <w:color w:val="66664F"/>
          <w:sz w:val="18"/>
          <w:szCs w:val="18"/>
          <w:u w:val="single"/>
        </w:rPr>
        <w:t>s</w:t>
      </w:r>
      <w:r w:rsidRPr="004374FA">
        <w:rPr>
          <w:rFonts w:ascii="Palatino Linotype" w:hAnsi="Palatino Linotype" w:cs="TrebuchetMS"/>
          <w:color w:val="66664F"/>
          <w:sz w:val="18"/>
          <w:szCs w:val="18"/>
        </w:rPr>
        <w:t xml:space="preserve">ynchronization, </w:t>
      </w:r>
      <w:r w:rsidRPr="004374FA">
        <w:rPr>
          <w:rFonts w:ascii="Palatino Linotype" w:hAnsi="Palatino Linotype" w:cs="TrebuchetMS"/>
          <w:b/>
          <w:color w:val="66664F"/>
          <w:sz w:val="18"/>
          <w:szCs w:val="18"/>
          <w:u w:val="single"/>
        </w:rPr>
        <w:t>i</w:t>
      </w:r>
      <w:r w:rsidRPr="004374FA">
        <w:rPr>
          <w:rFonts w:ascii="Palatino Linotype" w:hAnsi="Palatino Linotype" w:cs="TrebuchetMS"/>
          <w:color w:val="66664F"/>
          <w:sz w:val="18"/>
          <w:szCs w:val="18"/>
        </w:rPr>
        <w:t xml:space="preserve">dentity management and </w:t>
      </w:r>
      <w:r w:rsidRPr="004374FA">
        <w:rPr>
          <w:rFonts w:ascii="Palatino Linotype" w:hAnsi="Palatino Linotype" w:cs="TrebuchetMS"/>
          <w:b/>
          <w:color w:val="66664F"/>
          <w:sz w:val="18"/>
          <w:szCs w:val="18"/>
          <w:u w:val="single"/>
        </w:rPr>
        <w:t>c</w:t>
      </w:r>
      <w:r w:rsidRPr="004374FA">
        <w:rPr>
          <w:rFonts w:ascii="Palatino Linotype" w:hAnsi="Palatino Linotype" w:cs="TrebuchetMS"/>
          <w:color w:val="66664F"/>
          <w:sz w:val="18"/>
          <w:szCs w:val="18"/>
        </w:rPr>
        <w:t>ollaboration.</w:t>
      </w:r>
      <w:r>
        <w:rPr>
          <w:rFonts w:ascii="Palatino Linotype" w:hAnsi="Palatino Linotype" w:cs="TrebuchetMS"/>
          <w:color w:val="66664F"/>
          <w:sz w:val="18"/>
          <w:szCs w:val="18"/>
        </w:rPr>
        <w:t xml:space="preserve"> </w:t>
      </w:r>
      <w:r w:rsidRPr="004374FA">
        <w:rPr>
          <w:rFonts w:ascii="Palatino Linotype" w:hAnsi="Palatino Linotype" w:cs="TrebuchetMS"/>
          <w:color w:val="66664F"/>
          <w:sz w:val="18"/>
          <w:szCs w:val="18"/>
        </w:rPr>
        <w:t>A reasonable migration strategy must be implemented to move existing data to online storage without disruptions.</w:t>
      </w:r>
    </w:p>
    <w:p w:rsidR="00E64A8D" w:rsidRDefault="00D70D07" w:rsidP="00C65B08">
      <w:pPr>
        <w:pStyle w:val="Heading3"/>
      </w:pPr>
      <w:r>
        <w:t>Mobile Access to On-Premise Data</w:t>
      </w:r>
    </w:p>
    <w:p w:rsidR="00D70D07" w:rsidRPr="00D70D07" w:rsidRDefault="00D70D07" w:rsidP="000132A2">
      <w:pPr>
        <w:rPr>
          <w:rFonts w:ascii="Palatino Linotype" w:hAnsi="Palatino Linotype" w:cs="TrebuchetMS"/>
          <w:color w:val="66664F"/>
          <w:sz w:val="18"/>
          <w:szCs w:val="18"/>
        </w:rPr>
      </w:pPr>
      <w:r>
        <w:rPr>
          <w:rFonts w:ascii="Palatino Linotype" w:hAnsi="Palatino Linotype" w:cs="TrebuchetMS"/>
          <w:color w:val="66664F"/>
          <w:sz w:val="18"/>
          <w:szCs w:val="18"/>
        </w:rPr>
        <w:t>There is an increasing need to provide access solutions for mobile devices. Many cloud access solutions cover this use case but some organizations are not ready to move their data to the cloud. Essentially, they want to be able to access on-premise file server data from any location with any device.</w:t>
      </w:r>
    </w:p>
    <w:p w:rsidR="00D70D07" w:rsidRDefault="00D70D07" w:rsidP="00D70D07">
      <w:pPr>
        <w:pStyle w:val="Heading3"/>
      </w:pPr>
      <w:r>
        <w:t>Private Access to Online Storage</w:t>
      </w:r>
    </w:p>
    <w:p w:rsidR="00D70D07" w:rsidRPr="00D70D07" w:rsidRDefault="00D70D07" w:rsidP="00D70D07">
      <w:r>
        <w:rPr>
          <w:rFonts w:ascii="Palatino Linotype" w:hAnsi="Palatino Linotype" w:cs="TrebuchetMS"/>
          <w:color w:val="66664F"/>
          <w:sz w:val="18"/>
          <w:szCs w:val="18"/>
        </w:rPr>
        <w:t xml:space="preserve">An enterprise may be willing to place some faith in a service provided by an industry stalwart like Amazon, Google, HP, or Microsoft but have a difficult time depending on access infrastructure provided by relative newcomers like Box, </w:t>
      </w:r>
      <w:proofErr w:type="spellStart"/>
      <w:r>
        <w:rPr>
          <w:rFonts w:ascii="Palatino Linotype" w:hAnsi="Palatino Linotype" w:cs="TrebuchetMS"/>
          <w:color w:val="66664F"/>
          <w:sz w:val="18"/>
          <w:szCs w:val="18"/>
        </w:rPr>
        <w:t>Dropbox</w:t>
      </w:r>
      <w:proofErr w:type="spellEnd"/>
      <w:r>
        <w:rPr>
          <w:rFonts w:ascii="Palatino Linotype" w:hAnsi="Palatino Linotype" w:cs="TrebuchetMS"/>
          <w:color w:val="66664F"/>
          <w:sz w:val="18"/>
          <w:szCs w:val="18"/>
        </w:rPr>
        <w:t xml:space="preserve">, Gladinet or </w:t>
      </w:r>
      <w:proofErr w:type="spellStart"/>
      <w:r>
        <w:rPr>
          <w:rFonts w:ascii="Palatino Linotype" w:hAnsi="Palatino Linotype" w:cs="TrebuchetMS"/>
          <w:color w:val="66664F"/>
          <w:sz w:val="18"/>
          <w:szCs w:val="18"/>
        </w:rPr>
        <w:t>StorSimple</w:t>
      </w:r>
      <w:proofErr w:type="spellEnd"/>
      <w:r>
        <w:rPr>
          <w:rFonts w:ascii="Palatino Linotype" w:hAnsi="Palatino Linotype" w:cs="TrebuchetMS"/>
          <w:color w:val="66664F"/>
          <w:sz w:val="18"/>
          <w:szCs w:val="18"/>
        </w:rPr>
        <w:t>. They therefore prefer to control the access infrastructure themselves while leveraging online storage from a large provider.</w:t>
      </w:r>
    </w:p>
    <w:p w:rsidR="00D70D07" w:rsidRDefault="00D70D07" w:rsidP="00D70D07">
      <w:pPr>
        <w:pStyle w:val="Heading3"/>
      </w:pPr>
      <w:r>
        <w:t>Multi-tenant</w:t>
      </w:r>
      <w:r>
        <w:t xml:space="preserve"> Access to Online Storage</w:t>
      </w:r>
    </w:p>
    <w:p w:rsidR="00D70D07" w:rsidRPr="00D70D07" w:rsidRDefault="00D70D07" w:rsidP="00D70D07">
      <w:pPr>
        <w:rPr>
          <w:rFonts w:ascii="Palatino Linotype" w:hAnsi="Palatino Linotype" w:cs="TrebuchetMS"/>
          <w:color w:val="66664F"/>
          <w:sz w:val="18"/>
          <w:szCs w:val="18"/>
        </w:rPr>
      </w:pPr>
      <w:r>
        <w:rPr>
          <w:rFonts w:ascii="Palatino Linotype" w:hAnsi="Palatino Linotype" w:cs="TrebuchetMS"/>
          <w:color w:val="66664F"/>
          <w:sz w:val="18"/>
          <w:szCs w:val="18"/>
        </w:rPr>
        <w:t xml:space="preserve">A service provider may need a way to provide multi-tenant access to their </w:t>
      </w:r>
      <w:proofErr w:type="spellStart"/>
      <w:r>
        <w:rPr>
          <w:rFonts w:ascii="Palatino Linotype" w:hAnsi="Palatino Linotype" w:cs="TrebuchetMS"/>
          <w:color w:val="66664F"/>
          <w:sz w:val="18"/>
          <w:szCs w:val="18"/>
        </w:rPr>
        <w:t>SaaS</w:t>
      </w:r>
      <w:proofErr w:type="spellEnd"/>
      <w:r>
        <w:rPr>
          <w:rFonts w:ascii="Palatino Linotype" w:hAnsi="Palatino Linotype" w:cs="TrebuchetMS"/>
          <w:color w:val="66664F"/>
          <w:sz w:val="18"/>
          <w:szCs w:val="18"/>
        </w:rPr>
        <w:t xml:space="preserve"> solution giving each customer with their own private access infrastructure.</w:t>
      </w:r>
    </w:p>
    <w:p w:rsidR="00BF7A26" w:rsidRPr="009269AB" w:rsidRDefault="00D70D07" w:rsidP="009269AB">
      <w:pPr>
        <w:pStyle w:val="Heading1"/>
      </w:pPr>
      <w:r>
        <w:t>Gladinet Cloud Enterprise</w:t>
      </w:r>
    </w:p>
    <w:p w:rsidR="00D24D89" w:rsidRDefault="0098669B" w:rsidP="00BF7A26">
      <w:pPr>
        <w:autoSpaceDE w:val="0"/>
        <w:autoSpaceDN w:val="0"/>
        <w:adjustRightInd w:val="0"/>
        <w:spacing w:after="0" w:line="240" w:lineRule="auto"/>
        <w:rPr>
          <w:rFonts w:ascii="Palatino Linotype" w:hAnsi="Palatino Linotype" w:cs="TrebuchetMS"/>
          <w:color w:val="66664F"/>
          <w:sz w:val="18"/>
          <w:szCs w:val="18"/>
        </w:rPr>
      </w:pPr>
      <w:r w:rsidRPr="00D70D07">
        <w:rPr>
          <w:rFonts w:ascii="Palatino Linotype" w:hAnsi="Palatino Linotype" w:cs="TrebuchetMS"/>
          <w:color w:val="66664F"/>
          <w:sz w:val="18"/>
          <w:szCs w:val="18"/>
        </w:rPr>
        <w:t>Gladinet Cloud</w:t>
      </w:r>
      <w:r w:rsidR="00D70D07">
        <w:rPr>
          <w:rFonts w:ascii="Palatino Linotype" w:hAnsi="Palatino Linotype" w:cs="TrebuchetMS"/>
          <w:color w:val="66664F"/>
          <w:sz w:val="18"/>
          <w:szCs w:val="18"/>
        </w:rPr>
        <w:t xml:space="preserve"> Enterprise (GCE) provides a solution for each of these problems. Just like the standard offering of Gladinet Cloud Team Edition, it solves the BASIC access needs for private cloud storage but allows the access infrastructure to be deployed on-premise with a very simple installation and setup process that can be completed in minutes. GCE can be deployed with storage from a private cloud, public cloud or on-premise servers and is very tightly integrated with Active Directory. Once configured:</w:t>
      </w:r>
    </w:p>
    <w:p w:rsidR="00D70D07" w:rsidRDefault="00D70D07" w:rsidP="00D70D07">
      <w:pPr>
        <w:pStyle w:val="ListParagraph"/>
        <w:numPr>
          <w:ilvl w:val="0"/>
          <w:numId w:val="4"/>
        </w:numPr>
        <w:autoSpaceDE w:val="0"/>
        <w:autoSpaceDN w:val="0"/>
        <w:adjustRightInd w:val="0"/>
        <w:spacing w:after="0" w:line="240" w:lineRule="auto"/>
        <w:rPr>
          <w:rFonts w:ascii="Palatino Linotype" w:hAnsi="Palatino Linotype" w:cs="TrebuchetMS"/>
          <w:color w:val="66664F"/>
          <w:sz w:val="18"/>
          <w:szCs w:val="18"/>
        </w:rPr>
      </w:pPr>
      <w:r>
        <w:rPr>
          <w:rFonts w:ascii="Palatino Linotype" w:hAnsi="Palatino Linotype" w:cs="TrebuchetMS"/>
          <w:color w:val="66664F"/>
          <w:sz w:val="18"/>
          <w:szCs w:val="18"/>
        </w:rPr>
        <w:t>Remote users can use mobile devices to access on-premise file server content without a virtual private network (VPN)</w:t>
      </w:r>
    </w:p>
    <w:p w:rsidR="00D70D07" w:rsidRDefault="00D70D07" w:rsidP="00D70D07">
      <w:pPr>
        <w:pStyle w:val="ListParagraph"/>
        <w:numPr>
          <w:ilvl w:val="0"/>
          <w:numId w:val="4"/>
        </w:numPr>
        <w:autoSpaceDE w:val="0"/>
        <w:autoSpaceDN w:val="0"/>
        <w:adjustRightInd w:val="0"/>
        <w:spacing w:after="0" w:line="240" w:lineRule="auto"/>
        <w:rPr>
          <w:rFonts w:ascii="Palatino Linotype" w:hAnsi="Palatino Linotype" w:cs="TrebuchetMS"/>
          <w:color w:val="66664F"/>
          <w:sz w:val="18"/>
          <w:szCs w:val="18"/>
        </w:rPr>
      </w:pPr>
      <w:r>
        <w:rPr>
          <w:rFonts w:ascii="Palatino Linotype" w:hAnsi="Palatino Linotype" w:cs="TrebuchetMS"/>
          <w:color w:val="66664F"/>
          <w:sz w:val="18"/>
          <w:szCs w:val="18"/>
        </w:rPr>
        <w:t xml:space="preserve">The convenience of services like </w:t>
      </w:r>
      <w:proofErr w:type="spellStart"/>
      <w:r>
        <w:rPr>
          <w:rFonts w:ascii="Palatino Linotype" w:hAnsi="Palatino Linotype" w:cs="TrebuchetMS"/>
          <w:color w:val="66664F"/>
          <w:sz w:val="18"/>
          <w:szCs w:val="18"/>
        </w:rPr>
        <w:t>Dropbox</w:t>
      </w:r>
      <w:proofErr w:type="spellEnd"/>
      <w:r>
        <w:rPr>
          <w:rFonts w:ascii="Palatino Linotype" w:hAnsi="Palatino Linotype" w:cs="TrebuchetMS"/>
          <w:color w:val="66664F"/>
          <w:sz w:val="18"/>
          <w:szCs w:val="18"/>
        </w:rPr>
        <w:t xml:space="preserve"> can be combined with the security and c</w:t>
      </w:r>
      <w:bookmarkStart w:id="0" w:name="_GoBack"/>
      <w:bookmarkEnd w:id="0"/>
      <w:r>
        <w:rPr>
          <w:rFonts w:ascii="Palatino Linotype" w:hAnsi="Palatino Linotype" w:cs="TrebuchetMS"/>
          <w:color w:val="66664F"/>
          <w:sz w:val="18"/>
          <w:szCs w:val="18"/>
        </w:rPr>
        <w:t>ontrol of private deployment</w:t>
      </w:r>
    </w:p>
    <w:p w:rsidR="00D70D07" w:rsidRDefault="00D70D07" w:rsidP="00D70D07">
      <w:pPr>
        <w:pStyle w:val="ListParagraph"/>
        <w:numPr>
          <w:ilvl w:val="0"/>
          <w:numId w:val="4"/>
        </w:numPr>
        <w:autoSpaceDE w:val="0"/>
        <w:autoSpaceDN w:val="0"/>
        <w:adjustRightInd w:val="0"/>
        <w:spacing w:after="0" w:line="240" w:lineRule="auto"/>
        <w:rPr>
          <w:rFonts w:ascii="Palatino Linotype" w:hAnsi="Palatino Linotype" w:cs="TrebuchetMS"/>
          <w:color w:val="66664F"/>
          <w:sz w:val="18"/>
          <w:szCs w:val="18"/>
        </w:rPr>
      </w:pPr>
      <w:r>
        <w:rPr>
          <w:rFonts w:ascii="Palatino Linotype" w:hAnsi="Palatino Linotype" w:cs="TrebuchetMS"/>
          <w:color w:val="66664F"/>
          <w:sz w:val="18"/>
          <w:szCs w:val="18"/>
        </w:rPr>
        <w:t>A private cloud can be automatically created from existing file servers</w:t>
      </w:r>
    </w:p>
    <w:p w:rsidR="00D70D07" w:rsidRDefault="00D70D07" w:rsidP="00D70D07">
      <w:pPr>
        <w:pStyle w:val="ListParagraph"/>
        <w:numPr>
          <w:ilvl w:val="0"/>
          <w:numId w:val="4"/>
        </w:numPr>
        <w:autoSpaceDE w:val="0"/>
        <w:autoSpaceDN w:val="0"/>
        <w:adjustRightInd w:val="0"/>
        <w:spacing w:after="0" w:line="240" w:lineRule="auto"/>
        <w:rPr>
          <w:rFonts w:ascii="Palatino Linotype" w:hAnsi="Palatino Linotype" w:cs="TrebuchetMS"/>
          <w:color w:val="66664F"/>
          <w:sz w:val="18"/>
          <w:szCs w:val="18"/>
        </w:rPr>
      </w:pPr>
      <w:r>
        <w:rPr>
          <w:rFonts w:ascii="Palatino Linotype" w:hAnsi="Palatino Linotype" w:cs="TrebuchetMS"/>
          <w:color w:val="66664F"/>
          <w:sz w:val="18"/>
          <w:szCs w:val="18"/>
        </w:rPr>
        <w:t>Home directories in Active Directory will be automatically prepared for secure remote access</w:t>
      </w:r>
    </w:p>
    <w:p w:rsidR="00D70D07" w:rsidRDefault="00D70D07" w:rsidP="00D70D07">
      <w:pPr>
        <w:pStyle w:val="ListParagraph"/>
        <w:autoSpaceDE w:val="0"/>
        <w:autoSpaceDN w:val="0"/>
        <w:adjustRightInd w:val="0"/>
        <w:spacing w:after="0" w:line="240" w:lineRule="auto"/>
        <w:rPr>
          <w:rFonts w:ascii="Palatino Linotype" w:hAnsi="Palatino Linotype" w:cs="TrebuchetMS"/>
          <w:color w:val="66664F"/>
          <w:sz w:val="18"/>
          <w:szCs w:val="18"/>
        </w:rPr>
      </w:pPr>
    </w:p>
    <w:p w:rsidR="00D70D07" w:rsidRPr="00D70D07" w:rsidRDefault="00D70D07" w:rsidP="00BF7A26">
      <w:pPr>
        <w:autoSpaceDE w:val="0"/>
        <w:autoSpaceDN w:val="0"/>
        <w:adjustRightInd w:val="0"/>
        <w:spacing w:after="0" w:line="240" w:lineRule="auto"/>
        <w:rPr>
          <w:rFonts w:ascii="Palatino Linotype" w:hAnsi="Palatino Linotype" w:cs="TrebuchetMS"/>
          <w:color w:val="66664F"/>
          <w:sz w:val="18"/>
          <w:szCs w:val="18"/>
        </w:rPr>
        <w:sectPr w:rsidR="00D70D07" w:rsidRPr="00D70D07" w:rsidSect="00AF19EB">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pPr>
      <w:r>
        <w:rPr>
          <w:rFonts w:ascii="Palatino Linotype" w:hAnsi="Palatino Linotype" w:cs="TrebuchetMS"/>
          <w:color w:val="66664F"/>
          <w:sz w:val="18"/>
          <w:szCs w:val="18"/>
        </w:rPr>
        <w:t xml:space="preserve">For more information, please consult the </w:t>
      </w:r>
      <w:hyperlink r:id="rId12" w:history="1">
        <w:r w:rsidRPr="00103C62">
          <w:rPr>
            <w:rStyle w:val="Hyperlink"/>
            <w:rFonts w:ascii="Palatino Linotype" w:hAnsi="Palatino Linotype" w:cs="TrebuchetMS"/>
            <w:sz w:val="18"/>
            <w:szCs w:val="18"/>
          </w:rPr>
          <w:t>GCE white paper</w:t>
        </w:r>
      </w:hyperlink>
      <w:r>
        <w:rPr>
          <w:rFonts w:ascii="Palatino Linotype" w:hAnsi="Palatino Linotype" w:cs="TrebuchetMS"/>
          <w:color w:val="66664F"/>
          <w:sz w:val="18"/>
          <w:szCs w:val="18"/>
        </w:rPr>
        <w:t xml:space="preserve"> or contact support@gladinet.com.</w:t>
      </w:r>
    </w:p>
    <w:p w:rsidR="007715D5" w:rsidRPr="007715D5" w:rsidRDefault="00DB4C9B" w:rsidP="00D70D07">
      <w:pPr>
        <w:autoSpaceDE w:val="0"/>
        <w:autoSpaceDN w:val="0"/>
        <w:adjustRightInd w:val="0"/>
        <w:spacing w:after="0" w:line="240" w:lineRule="auto"/>
      </w:pPr>
      <w:r>
        <w:rPr>
          <w:rFonts w:ascii="Palatino Linotype" w:hAnsi="Palatino Linotype" w:cs="ArialMT"/>
          <w:color w:val="66664F"/>
          <w:sz w:val="18"/>
          <w:szCs w:val="18"/>
        </w:rPr>
        <w:lastRenderedPageBreak/>
        <w:t xml:space="preserve"> </w:t>
      </w:r>
    </w:p>
    <w:sectPr w:rsidR="007715D5" w:rsidRPr="007715D5" w:rsidSect="00AF19EB">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A1F" w:rsidRDefault="005A1A1F" w:rsidP="00BF7A26">
      <w:pPr>
        <w:spacing w:after="0" w:line="240" w:lineRule="auto"/>
      </w:pPr>
      <w:r>
        <w:separator/>
      </w:r>
    </w:p>
  </w:endnote>
  <w:endnote w:type="continuationSeparator" w:id="0">
    <w:p w:rsidR="005A1A1F" w:rsidRDefault="005A1A1F" w:rsidP="00BF7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TKaiti">
    <w:altName w:val="SimSun"/>
    <w:panose1 w:val="00000000000000000000"/>
    <w:charset w:val="86"/>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rebuchetMS-Bold">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MS">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073" w:rsidRDefault="00E64A8D" w:rsidP="00045073">
    <w:pPr>
      <w:pStyle w:val="Footer"/>
    </w:pPr>
    <w:r>
      <w:t>Copyright 2012</w:t>
    </w:r>
    <w:r w:rsidR="00045073">
      <w:t xml:space="preserve"> Gladinet, Inc.   </w:t>
    </w:r>
    <w:r w:rsidR="00045073">
      <w:ptab w:relativeTo="margin" w:alignment="center" w:leader="none"/>
    </w:r>
    <w:r w:rsidR="00045073">
      <w:rPr>
        <w:noProof/>
        <w:lang w:eastAsia="en-US"/>
      </w:rPr>
      <w:drawing>
        <wp:inline distT="0" distB="0" distL="0" distR="0" wp14:anchorId="2084DB31" wp14:editId="23D99E53">
          <wp:extent cx="1334926" cy="266700"/>
          <wp:effectExtent l="0" t="0" r="0" b="0"/>
          <wp:docPr id="1" name="Picture 1" descr="S:\p4\src\shared\media_kit\outgoing\Text_Logo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p4\src\shared\media_kit\outgoing\Text_Logo_blu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4926" cy="266700"/>
                  </a:xfrm>
                  <a:prstGeom prst="rect">
                    <a:avLst/>
                  </a:prstGeom>
                  <a:noFill/>
                  <a:ln>
                    <a:noFill/>
                  </a:ln>
                </pic:spPr>
              </pic:pic>
            </a:graphicData>
          </a:graphic>
        </wp:inline>
      </w:drawing>
    </w:r>
    <w:r w:rsidR="00045073">
      <w:t xml:space="preserve"> </w:t>
    </w:r>
    <w:r w:rsidR="00045073">
      <w:ptab w:relativeTo="margin" w:alignment="right" w:leader="none"/>
    </w:r>
    <w:r w:rsidR="00045073" w:rsidRPr="00045073">
      <w:t xml:space="preserve">Page </w:t>
    </w:r>
    <w:r w:rsidR="00045073" w:rsidRPr="00045073">
      <w:rPr>
        <w:b/>
      </w:rPr>
      <w:fldChar w:fldCharType="begin"/>
    </w:r>
    <w:r w:rsidR="00045073" w:rsidRPr="00045073">
      <w:rPr>
        <w:b/>
      </w:rPr>
      <w:instrText xml:space="preserve"> PAGE  \* Arabic  \* MERGEFORMAT </w:instrText>
    </w:r>
    <w:r w:rsidR="00045073" w:rsidRPr="00045073">
      <w:rPr>
        <w:b/>
      </w:rPr>
      <w:fldChar w:fldCharType="separate"/>
    </w:r>
    <w:r w:rsidR="00D70D07">
      <w:rPr>
        <w:b/>
        <w:noProof/>
      </w:rPr>
      <w:t>2</w:t>
    </w:r>
    <w:r w:rsidR="00045073" w:rsidRPr="00045073">
      <w:rPr>
        <w:b/>
      </w:rPr>
      <w:fldChar w:fldCharType="end"/>
    </w:r>
    <w:r w:rsidR="00045073" w:rsidRPr="00045073">
      <w:t xml:space="preserve"> of </w:t>
    </w:r>
    <w:r w:rsidR="00045073" w:rsidRPr="00045073">
      <w:rPr>
        <w:b/>
      </w:rPr>
      <w:fldChar w:fldCharType="begin"/>
    </w:r>
    <w:r w:rsidR="00045073" w:rsidRPr="00045073">
      <w:rPr>
        <w:b/>
      </w:rPr>
      <w:instrText xml:space="preserve"> NUMPAGES  \* Arabic  \* MERGEFORMAT </w:instrText>
    </w:r>
    <w:r w:rsidR="00045073" w:rsidRPr="00045073">
      <w:rPr>
        <w:b/>
      </w:rPr>
      <w:fldChar w:fldCharType="separate"/>
    </w:r>
    <w:r w:rsidR="00D70D07">
      <w:rPr>
        <w:b/>
        <w:noProof/>
      </w:rPr>
      <w:t>2</w:t>
    </w:r>
    <w:r w:rsidR="00045073" w:rsidRPr="00045073">
      <w:rPr>
        <w:b/>
      </w:rPr>
      <w:fldChar w:fldCharType="end"/>
    </w:r>
  </w:p>
  <w:p w:rsidR="00303A9B" w:rsidRDefault="00303A9B" w:rsidP="00045073">
    <w:pPr>
      <w:pStyle w:val="Footer"/>
      <w:pBdr>
        <w:top w:val="single" w:sz="4" w:space="1" w:color="D9D9D9" w:themeColor="background1" w:themeShade="D9"/>
      </w:pBd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A9B" w:rsidRDefault="00E64A8D">
    <w:pPr>
      <w:pStyle w:val="Footer"/>
    </w:pPr>
    <w:r>
      <w:t>Copyright 2012</w:t>
    </w:r>
    <w:r w:rsidR="00303A9B">
      <w:t xml:space="preserve"> Gladinet, Inc.</w:t>
    </w:r>
    <w:r w:rsidR="00045073">
      <w:t xml:space="preserve">   </w:t>
    </w:r>
    <w:r w:rsidR="00045073">
      <w:ptab w:relativeTo="margin" w:alignment="center" w:leader="none"/>
    </w:r>
    <w:r w:rsidR="00045073">
      <w:rPr>
        <w:noProof/>
        <w:lang w:eastAsia="en-US"/>
      </w:rPr>
      <w:drawing>
        <wp:inline distT="0" distB="0" distL="0" distR="0" wp14:anchorId="72367392" wp14:editId="2DFCA1CD">
          <wp:extent cx="1334926" cy="266700"/>
          <wp:effectExtent l="0" t="0" r="0" b="0"/>
          <wp:docPr id="8" name="Picture 8" descr="S:\p4\src\shared\media_kit\outgoing\Text_Logo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p4\src\shared\media_kit\outgoing\Text_Logo_blu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4926" cy="266700"/>
                  </a:xfrm>
                  <a:prstGeom prst="rect">
                    <a:avLst/>
                  </a:prstGeom>
                  <a:noFill/>
                  <a:ln>
                    <a:noFill/>
                  </a:ln>
                </pic:spPr>
              </pic:pic>
            </a:graphicData>
          </a:graphic>
        </wp:inline>
      </w:drawing>
    </w:r>
    <w:r w:rsidR="00045073">
      <w:t xml:space="preserve"> </w:t>
    </w:r>
    <w:r w:rsidR="00045073">
      <w:ptab w:relativeTo="margin" w:alignment="right" w:leader="none"/>
    </w:r>
    <w:r w:rsidR="00045073" w:rsidRPr="00045073">
      <w:t xml:space="preserve">Page </w:t>
    </w:r>
    <w:r w:rsidR="00045073" w:rsidRPr="00045073">
      <w:rPr>
        <w:b/>
      </w:rPr>
      <w:fldChar w:fldCharType="begin"/>
    </w:r>
    <w:r w:rsidR="00045073" w:rsidRPr="00045073">
      <w:rPr>
        <w:b/>
      </w:rPr>
      <w:instrText xml:space="preserve"> PAGE  \* Arabic  \* MERGEFORMAT </w:instrText>
    </w:r>
    <w:r w:rsidR="00045073" w:rsidRPr="00045073">
      <w:rPr>
        <w:b/>
      </w:rPr>
      <w:fldChar w:fldCharType="separate"/>
    </w:r>
    <w:r w:rsidR="00103C62">
      <w:rPr>
        <w:b/>
        <w:noProof/>
      </w:rPr>
      <w:t>1</w:t>
    </w:r>
    <w:r w:rsidR="00045073" w:rsidRPr="00045073">
      <w:rPr>
        <w:b/>
      </w:rPr>
      <w:fldChar w:fldCharType="end"/>
    </w:r>
    <w:r w:rsidR="00045073" w:rsidRPr="00045073">
      <w:t xml:space="preserve"> of </w:t>
    </w:r>
    <w:r w:rsidR="00045073" w:rsidRPr="00045073">
      <w:rPr>
        <w:b/>
      </w:rPr>
      <w:fldChar w:fldCharType="begin"/>
    </w:r>
    <w:r w:rsidR="00045073" w:rsidRPr="00045073">
      <w:rPr>
        <w:b/>
      </w:rPr>
      <w:instrText xml:space="preserve"> NUMPAGES  \* Arabic  \* MERGEFORMAT </w:instrText>
    </w:r>
    <w:r w:rsidR="00045073" w:rsidRPr="00045073">
      <w:rPr>
        <w:b/>
      </w:rPr>
      <w:fldChar w:fldCharType="separate"/>
    </w:r>
    <w:r w:rsidR="00103C62">
      <w:rPr>
        <w:b/>
        <w:noProof/>
      </w:rPr>
      <w:t>1</w:t>
    </w:r>
    <w:r w:rsidR="00045073" w:rsidRPr="00045073">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A1F" w:rsidRDefault="005A1A1F" w:rsidP="00BF7A26">
      <w:pPr>
        <w:spacing w:after="0" w:line="240" w:lineRule="auto"/>
      </w:pPr>
      <w:r>
        <w:separator/>
      </w:r>
    </w:p>
  </w:footnote>
  <w:footnote w:type="continuationSeparator" w:id="0">
    <w:p w:rsidR="005A1A1F" w:rsidRDefault="005A1A1F" w:rsidP="00BF7A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A26" w:rsidRPr="00A16F6D" w:rsidRDefault="00E64A8D">
    <w:pPr>
      <w:pStyle w:val="Header"/>
      <w:rPr>
        <w:b/>
        <w:noProof/>
        <w:color w:val="FF0000"/>
        <w:sz w:val="32"/>
      </w:rPr>
    </w:pPr>
    <w:r w:rsidRPr="00A16F6D">
      <w:rPr>
        <w:b/>
        <w:noProof/>
        <w:color w:val="FF0000"/>
        <w:sz w:val="32"/>
      </w:rPr>
      <w:t>Gladinet Cloud</w:t>
    </w:r>
  </w:p>
  <w:p w:rsidR="00456F14" w:rsidRPr="00456F14" w:rsidRDefault="00E64A8D">
    <w:pPr>
      <w:pStyle w:val="Header"/>
      <w:rPr>
        <w:b/>
        <w:color w:val="FF0000"/>
        <w:sz w:val="16"/>
      </w:rPr>
    </w:pPr>
    <w:r>
      <w:rPr>
        <w:b/>
        <w:noProof/>
        <w:color w:val="FF0000"/>
        <w:sz w:val="16"/>
      </w:rPr>
      <w:t>Simple A</w:t>
    </w:r>
    <w:r w:rsidR="00135F70">
      <w:rPr>
        <w:b/>
        <w:noProof/>
        <w:color w:val="FF0000"/>
        <w:sz w:val="16"/>
      </w:rPr>
      <w:t>ccess to Online Storage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5CA" w:rsidRPr="002542D9" w:rsidRDefault="00BE55F3" w:rsidP="002542D9">
    <w:pPr>
      <w:pStyle w:val="Header"/>
    </w:pPr>
    <w:r>
      <w:rPr>
        <w:noProof/>
        <w:lang w:eastAsia="en-US"/>
      </w:rPr>
      <mc:AlternateContent>
        <mc:Choice Requires="wps">
          <w:drawing>
            <wp:anchor distT="0" distB="0" distL="114300" distR="114300" simplePos="0" relativeHeight="251659264" behindDoc="0" locked="0" layoutInCell="1" allowOverlap="1" wp14:anchorId="6E9BA07B" wp14:editId="63686FB7">
              <wp:simplePos x="0" y="0"/>
              <wp:positionH relativeFrom="column">
                <wp:posOffset>2533650</wp:posOffset>
              </wp:positionH>
              <wp:positionV relativeFrom="paragraph">
                <wp:posOffset>495300</wp:posOffset>
              </wp:positionV>
              <wp:extent cx="3822700" cy="361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0" cy="361950"/>
                      </a:xfrm>
                      <a:prstGeom prst="rect">
                        <a:avLst/>
                      </a:prstGeom>
                      <a:noFill/>
                      <a:ln w="9525">
                        <a:noFill/>
                        <a:miter lim="800000"/>
                        <a:headEnd/>
                        <a:tailEnd/>
                      </a:ln>
                    </wps:spPr>
                    <wps:txbx>
                      <w:txbxContent>
                        <w:p w:rsidR="00BE55F3" w:rsidRPr="00BE55F3" w:rsidRDefault="00456973">
                          <w:pPr>
                            <w:rPr>
                              <w:color w:val="FF0000"/>
                            </w:rPr>
                          </w:pPr>
                          <w:r>
                            <w:rPr>
                              <w:color w:val="FF0000"/>
                            </w:rPr>
                            <w:t>SIMPLE CLOUD STORAGE ACCESS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9.5pt;margin-top:39pt;width:301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9aIDAIAAPQDAAAOAAAAZHJzL2Uyb0RvYy54bWysU9tuGyEQfa/Uf0C817te24m9Mo7SpKkq&#10;pRcp6QdglvWiAkMBe9f9+g6s41jtW1UeEMPMHOacGdY3g9HkIH1QYBmdTkpKpBXQKLtj9Pvzw7sl&#10;JSFy23ANVjJ6lIHebN6+WfeulhV0oBvpCYLYUPeO0S5GVxdFEJ00PEzASYvOFrzhEU2/KxrPe0Q3&#10;uqjK8qrowTfOg5Ah4O396KSbjN+2UsSvbRtkJJpRrC3m3ed9m/Zis+b1znPXKXEqg/9DFYYri4+e&#10;oe555GTv1V9QRgkPAdo4EWAKaFslZOaAbKblH2yeOu5k5oLiBHeWKfw/WPHl8M0T1TA6K68psdxg&#10;k57lEMl7GEiV9OldqDHsyWFgHPAa+5y5BvcI4kcgFu46bnfy1nvoO8kbrG+aMouL1BEnJJBt/xka&#10;fIbvI2SgofUmiYdyEETHPh3PvUmlCLycLavqukSXQN/sarpa5OYVvH7Jdj7EjxIMSQdGPfY+o/PD&#10;Y4ipGl6/hKTHLDworXP/tSU9o6tFtcgJFx6jIo6nVobRZZnWODCJ5Afb5OTIlR7P+IC2J9aJ6Eg5&#10;DtsBA5MUW2iOyN/DOIb4bfDQgf9FSY8jyGj4uedeUqI/WdRwNZ3P08xmY764rtDwl57tpYdbgVCM&#10;RkrG413Mcz5yvUWtW5VleK3kVCuOVlbn9A3S7F7aOer1s25+AwAA//8DAFBLAwQUAAYACAAAACEA&#10;BRoaPt4AAAALAQAADwAAAGRycy9kb3ducmV2LnhtbEyPT0/DMAzF70h8h8hI3JgzxmAtTScE4gra&#10;+CNxyxqvrWicqsnW8u3xTnDys/z0/HvFevKdOtIQ28AG5jMNirgKruXawPvb89UKVEyWne0Ck4Ef&#10;irAuz88Km7sw8oaO21QrCeGYWwNNSn2OGKuGvI2z0BPLbR8Gb5OsQ41usKOE+w6vtb5Fb1uWD43t&#10;6bGh6nt78AY+XvZfnzf6tX7yy34Mk0b2GRpzeTE93INKNKU/M5zwBR1KYdqFA7uoOgOLLJMuycDd&#10;SubJoPVc1E7UYqkBywL/dyh/AQAA//8DAFBLAQItABQABgAIAAAAIQC2gziS/gAAAOEBAAATAAAA&#10;AAAAAAAAAAAAAAAAAABbQ29udGVudF9UeXBlc10ueG1sUEsBAi0AFAAGAAgAAAAhADj9If/WAAAA&#10;lAEAAAsAAAAAAAAAAAAAAAAALwEAAF9yZWxzLy5yZWxzUEsBAi0AFAAGAAgAAAAhAExn1ogMAgAA&#10;9AMAAA4AAAAAAAAAAAAAAAAALgIAAGRycy9lMm9Eb2MueG1sUEsBAi0AFAAGAAgAAAAhAAUaGj7e&#10;AAAACwEAAA8AAAAAAAAAAAAAAAAAZgQAAGRycy9kb3ducmV2LnhtbFBLBQYAAAAABAAEAPMAAABx&#10;BQAAAAA=&#10;" filled="f" stroked="f">
              <v:textbox>
                <w:txbxContent>
                  <w:p w:rsidR="00BE55F3" w:rsidRPr="00BE55F3" w:rsidRDefault="00456973">
                    <w:pPr>
                      <w:rPr>
                        <w:color w:val="FF0000"/>
                      </w:rPr>
                    </w:pPr>
                    <w:r>
                      <w:rPr>
                        <w:color w:val="FF0000"/>
                      </w:rPr>
                      <w:t>SIMPLE CLOUD STORAGE ACCESS</w:t>
                    </w:r>
                  </w:p>
                </w:txbxContent>
              </v:textbox>
            </v:shape>
          </w:pict>
        </mc:Fallback>
      </mc:AlternateContent>
    </w:r>
    <w:r>
      <w:rPr>
        <w:noProof/>
        <w:lang w:eastAsia="en-US"/>
      </w:rPr>
      <w:drawing>
        <wp:inline distT="0" distB="0" distL="0" distR="0" wp14:anchorId="3892A203" wp14:editId="6C5E2175">
          <wp:extent cx="5943600" cy="914400"/>
          <wp:effectExtent l="0" t="0" r="0" b="0"/>
          <wp:docPr id="7" name="Picture 7" descr="C:\Users\zhihui\Pictures\brief_header_first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zhihui\Pictures\brief_header_first_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F60DD"/>
    <w:multiLevelType w:val="hybridMultilevel"/>
    <w:tmpl w:val="B010D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C11835"/>
    <w:multiLevelType w:val="hybridMultilevel"/>
    <w:tmpl w:val="B5343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1B4A26"/>
    <w:multiLevelType w:val="hybridMultilevel"/>
    <w:tmpl w:val="C1FE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302666"/>
    <w:multiLevelType w:val="hybridMultilevel"/>
    <w:tmpl w:val="81F04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749"/>
    <w:rsid w:val="00007382"/>
    <w:rsid w:val="000132A2"/>
    <w:rsid w:val="00045073"/>
    <w:rsid w:val="000B3141"/>
    <w:rsid w:val="000B7C7A"/>
    <w:rsid w:val="000C03C7"/>
    <w:rsid w:val="000E0F83"/>
    <w:rsid w:val="00103C62"/>
    <w:rsid w:val="00127719"/>
    <w:rsid w:val="00135F70"/>
    <w:rsid w:val="001459C5"/>
    <w:rsid w:val="001638A0"/>
    <w:rsid w:val="00173A93"/>
    <w:rsid w:val="001B7749"/>
    <w:rsid w:val="001C7DDF"/>
    <w:rsid w:val="001F1F55"/>
    <w:rsid w:val="001F4C83"/>
    <w:rsid w:val="002152DF"/>
    <w:rsid w:val="002542D9"/>
    <w:rsid w:val="002E1514"/>
    <w:rsid w:val="00303A9B"/>
    <w:rsid w:val="00305C22"/>
    <w:rsid w:val="0034480E"/>
    <w:rsid w:val="0034547D"/>
    <w:rsid w:val="0034562E"/>
    <w:rsid w:val="003B1B1F"/>
    <w:rsid w:val="003E2392"/>
    <w:rsid w:val="00456973"/>
    <w:rsid w:val="00456F14"/>
    <w:rsid w:val="00476A27"/>
    <w:rsid w:val="00485AD9"/>
    <w:rsid w:val="00510E04"/>
    <w:rsid w:val="00561839"/>
    <w:rsid w:val="005734D1"/>
    <w:rsid w:val="005A1A1F"/>
    <w:rsid w:val="0062674A"/>
    <w:rsid w:val="006756EE"/>
    <w:rsid w:val="006A7977"/>
    <w:rsid w:val="006B33C4"/>
    <w:rsid w:val="006C596C"/>
    <w:rsid w:val="007715D5"/>
    <w:rsid w:val="007735CA"/>
    <w:rsid w:val="007A5389"/>
    <w:rsid w:val="007D365C"/>
    <w:rsid w:val="00802A6B"/>
    <w:rsid w:val="0087667C"/>
    <w:rsid w:val="008A5CF6"/>
    <w:rsid w:val="008D4D64"/>
    <w:rsid w:val="008D6539"/>
    <w:rsid w:val="00902815"/>
    <w:rsid w:val="009037E0"/>
    <w:rsid w:val="0092081B"/>
    <w:rsid w:val="009269AB"/>
    <w:rsid w:val="0097310D"/>
    <w:rsid w:val="00981DC0"/>
    <w:rsid w:val="0098669B"/>
    <w:rsid w:val="009A6529"/>
    <w:rsid w:val="009A769E"/>
    <w:rsid w:val="00A00E2E"/>
    <w:rsid w:val="00A01AFF"/>
    <w:rsid w:val="00A16F6D"/>
    <w:rsid w:val="00A97920"/>
    <w:rsid w:val="00AC35A0"/>
    <w:rsid w:val="00AE6C24"/>
    <w:rsid w:val="00AF19EB"/>
    <w:rsid w:val="00B1028F"/>
    <w:rsid w:val="00B25C4D"/>
    <w:rsid w:val="00BB57DD"/>
    <w:rsid w:val="00BC08AA"/>
    <w:rsid w:val="00BE55F3"/>
    <w:rsid w:val="00BF635A"/>
    <w:rsid w:val="00BF7A26"/>
    <w:rsid w:val="00C302A7"/>
    <w:rsid w:val="00C65B08"/>
    <w:rsid w:val="00C917B8"/>
    <w:rsid w:val="00D20833"/>
    <w:rsid w:val="00D23873"/>
    <w:rsid w:val="00D24D89"/>
    <w:rsid w:val="00D30075"/>
    <w:rsid w:val="00D613DD"/>
    <w:rsid w:val="00D70D07"/>
    <w:rsid w:val="00D92EFC"/>
    <w:rsid w:val="00D9533C"/>
    <w:rsid w:val="00DA4FF7"/>
    <w:rsid w:val="00DB4C9B"/>
    <w:rsid w:val="00E64A8D"/>
    <w:rsid w:val="00E66BD4"/>
    <w:rsid w:val="00EB40AB"/>
    <w:rsid w:val="00EC1FC6"/>
    <w:rsid w:val="00EE3D3A"/>
    <w:rsid w:val="00F02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4A8D"/>
    <w:pPr>
      <w:outlineLvl w:val="0"/>
    </w:pPr>
    <w:rPr>
      <w:rFonts w:ascii="Palatino Linotype" w:hAnsi="Palatino Linotype" w:cs="TrebuchetMS-Bold"/>
      <w:b/>
      <w:bCs/>
      <w:color w:val="0070C0"/>
      <w:sz w:val="28"/>
      <w:szCs w:val="32"/>
    </w:rPr>
  </w:style>
  <w:style w:type="paragraph" w:styleId="Heading2">
    <w:name w:val="heading 2"/>
    <w:basedOn w:val="Normal"/>
    <w:next w:val="Normal"/>
    <w:link w:val="Heading2Char"/>
    <w:uiPriority w:val="9"/>
    <w:unhideWhenUsed/>
    <w:qFormat/>
    <w:rsid w:val="00E64A8D"/>
    <w:pPr>
      <w:autoSpaceDE w:val="0"/>
      <w:autoSpaceDN w:val="0"/>
      <w:adjustRightInd w:val="0"/>
      <w:spacing w:after="0" w:line="240" w:lineRule="auto"/>
      <w:outlineLvl w:val="1"/>
    </w:pPr>
    <w:rPr>
      <w:rFonts w:ascii="Palatino Linotype" w:hAnsi="Palatino Linotype" w:cs="TrebuchetMS-Bold"/>
      <w:b/>
      <w:bCs/>
      <w:color w:val="CC3300"/>
      <w:sz w:val="28"/>
      <w:szCs w:val="36"/>
    </w:rPr>
  </w:style>
  <w:style w:type="paragraph" w:styleId="Heading3">
    <w:name w:val="heading 3"/>
    <w:basedOn w:val="Normal"/>
    <w:next w:val="Normal"/>
    <w:link w:val="Heading3Char"/>
    <w:uiPriority w:val="9"/>
    <w:unhideWhenUsed/>
    <w:qFormat/>
    <w:rsid w:val="00E64A8D"/>
    <w:pPr>
      <w:autoSpaceDE w:val="0"/>
      <w:autoSpaceDN w:val="0"/>
      <w:adjustRightInd w:val="0"/>
      <w:spacing w:after="0" w:line="240" w:lineRule="auto"/>
      <w:outlineLvl w:val="2"/>
    </w:pPr>
    <w:rPr>
      <w:rFonts w:ascii="Palatino Linotype" w:hAnsi="Palatino Linotype" w:cs="TrebuchetMS-Bold"/>
      <w:b/>
      <w:bCs/>
      <w:color w:val="0070C0"/>
    </w:rPr>
  </w:style>
  <w:style w:type="paragraph" w:styleId="Heading4">
    <w:name w:val="heading 4"/>
    <w:basedOn w:val="Normal"/>
    <w:next w:val="Normal"/>
    <w:link w:val="Heading4Char"/>
    <w:uiPriority w:val="9"/>
    <w:unhideWhenUsed/>
    <w:qFormat/>
    <w:rsid w:val="00E64A8D"/>
    <w:pPr>
      <w:autoSpaceDE w:val="0"/>
      <w:autoSpaceDN w:val="0"/>
      <w:adjustRightInd w:val="0"/>
      <w:spacing w:after="0" w:line="240" w:lineRule="auto"/>
      <w:outlineLvl w:val="3"/>
    </w:pPr>
    <w:rPr>
      <w:rFonts w:ascii="Palatino Linotype" w:hAnsi="Palatino Linotype" w:cs="Arial-BoldMT"/>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7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749"/>
    <w:rPr>
      <w:rFonts w:ascii="Tahoma" w:hAnsi="Tahoma" w:cs="Tahoma"/>
      <w:sz w:val="16"/>
      <w:szCs w:val="16"/>
    </w:rPr>
  </w:style>
  <w:style w:type="paragraph" w:styleId="Header">
    <w:name w:val="header"/>
    <w:basedOn w:val="Normal"/>
    <w:link w:val="HeaderChar"/>
    <w:uiPriority w:val="99"/>
    <w:unhideWhenUsed/>
    <w:rsid w:val="00BF7A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A26"/>
  </w:style>
  <w:style w:type="paragraph" w:styleId="Footer">
    <w:name w:val="footer"/>
    <w:basedOn w:val="Normal"/>
    <w:link w:val="FooterChar"/>
    <w:uiPriority w:val="99"/>
    <w:unhideWhenUsed/>
    <w:rsid w:val="00BF7A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A26"/>
  </w:style>
  <w:style w:type="table" w:styleId="TableGrid">
    <w:name w:val="Table Grid"/>
    <w:basedOn w:val="TableNormal"/>
    <w:uiPriority w:val="59"/>
    <w:rsid w:val="00AF19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F19EB"/>
    <w:rPr>
      <w:color w:val="0079A4" w:themeColor="hyperlink"/>
      <w:u w:val="single"/>
    </w:rPr>
  </w:style>
  <w:style w:type="character" w:customStyle="1" w:styleId="Heading1Char">
    <w:name w:val="Heading 1 Char"/>
    <w:basedOn w:val="DefaultParagraphFont"/>
    <w:link w:val="Heading1"/>
    <w:uiPriority w:val="9"/>
    <w:rsid w:val="00E64A8D"/>
    <w:rPr>
      <w:rFonts w:ascii="Palatino Linotype" w:hAnsi="Palatino Linotype" w:cs="TrebuchetMS-Bold"/>
      <w:b/>
      <w:bCs/>
      <w:color w:val="0070C0"/>
      <w:sz w:val="28"/>
      <w:szCs w:val="32"/>
    </w:rPr>
  </w:style>
  <w:style w:type="character" w:customStyle="1" w:styleId="Heading2Char">
    <w:name w:val="Heading 2 Char"/>
    <w:basedOn w:val="DefaultParagraphFont"/>
    <w:link w:val="Heading2"/>
    <w:uiPriority w:val="9"/>
    <w:rsid w:val="00E64A8D"/>
    <w:rPr>
      <w:rFonts w:ascii="Palatino Linotype" w:hAnsi="Palatino Linotype" w:cs="TrebuchetMS-Bold"/>
      <w:b/>
      <w:bCs/>
      <w:color w:val="CC3300"/>
      <w:sz w:val="28"/>
      <w:szCs w:val="36"/>
    </w:rPr>
  </w:style>
  <w:style w:type="character" w:customStyle="1" w:styleId="Heading3Char">
    <w:name w:val="Heading 3 Char"/>
    <w:basedOn w:val="DefaultParagraphFont"/>
    <w:link w:val="Heading3"/>
    <w:uiPriority w:val="9"/>
    <w:rsid w:val="00E64A8D"/>
    <w:rPr>
      <w:rFonts w:ascii="Palatino Linotype" w:hAnsi="Palatino Linotype" w:cs="TrebuchetMS-Bold"/>
      <w:b/>
      <w:bCs/>
      <w:color w:val="0070C0"/>
    </w:rPr>
  </w:style>
  <w:style w:type="character" w:customStyle="1" w:styleId="Heading4Char">
    <w:name w:val="Heading 4 Char"/>
    <w:basedOn w:val="DefaultParagraphFont"/>
    <w:link w:val="Heading4"/>
    <w:uiPriority w:val="9"/>
    <w:rsid w:val="00E64A8D"/>
    <w:rPr>
      <w:rFonts w:ascii="Palatino Linotype" w:hAnsi="Palatino Linotype" w:cs="Arial-BoldMT"/>
      <w:b/>
      <w:bCs/>
      <w:color w:val="000000"/>
      <w:sz w:val="18"/>
      <w:szCs w:val="18"/>
    </w:rPr>
  </w:style>
  <w:style w:type="paragraph" w:styleId="ListParagraph">
    <w:name w:val="List Paragraph"/>
    <w:basedOn w:val="Normal"/>
    <w:uiPriority w:val="34"/>
    <w:qFormat/>
    <w:rsid w:val="00A16F6D"/>
    <w:pPr>
      <w:ind w:left="720"/>
      <w:contextualSpacing/>
    </w:pPr>
  </w:style>
  <w:style w:type="paragraph" w:styleId="NormalWeb">
    <w:name w:val="Normal (Web)"/>
    <w:basedOn w:val="Normal"/>
    <w:uiPriority w:val="99"/>
    <w:semiHidden/>
    <w:unhideWhenUsed/>
    <w:rsid w:val="00D30075"/>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4A8D"/>
    <w:pPr>
      <w:outlineLvl w:val="0"/>
    </w:pPr>
    <w:rPr>
      <w:rFonts w:ascii="Palatino Linotype" w:hAnsi="Palatino Linotype" w:cs="TrebuchetMS-Bold"/>
      <w:b/>
      <w:bCs/>
      <w:color w:val="0070C0"/>
      <w:sz w:val="28"/>
      <w:szCs w:val="32"/>
    </w:rPr>
  </w:style>
  <w:style w:type="paragraph" w:styleId="Heading2">
    <w:name w:val="heading 2"/>
    <w:basedOn w:val="Normal"/>
    <w:next w:val="Normal"/>
    <w:link w:val="Heading2Char"/>
    <w:uiPriority w:val="9"/>
    <w:unhideWhenUsed/>
    <w:qFormat/>
    <w:rsid w:val="00E64A8D"/>
    <w:pPr>
      <w:autoSpaceDE w:val="0"/>
      <w:autoSpaceDN w:val="0"/>
      <w:adjustRightInd w:val="0"/>
      <w:spacing w:after="0" w:line="240" w:lineRule="auto"/>
      <w:outlineLvl w:val="1"/>
    </w:pPr>
    <w:rPr>
      <w:rFonts w:ascii="Palatino Linotype" w:hAnsi="Palatino Linotype" w:cs="TrebuchetMS-Bold"/>
      <w:b/>
      <w:bCs/>
      <w:color w:val="CC3300"/>
      <w:sz w:val="28"/>
      <w:szCs w:val="36"/>
    </w:rPr>
  </w:style>
  <w:style w:type="paragraph" w:styleId="Heading3">
    <w:name w:val="heading 3"/>
    <w:basedOn w:val="Normal"/>
    <w:next w:val="Normal"/>
    <w:link w:val="Heading3Char"/>
    <w:uiPriority w:val="9"/>
    <w:unhideWhenUsed/>
    <w:qFormat/>
    <w:rsid w:val="00E64A8D"/>
    <w:pPr>
      <w:autoSpaceDE w:val="0"/>
      <w:autoSpaceDN w:val="0"/>
      <w:adjustRightInd w:val="0"/>
      <w:spacing w:after="0" w:line="240" w:lineRule="auto"/>
      <w:outlineLvl w:val="2"/>
    </w:pPr>
    <w:rPr>
      <w:rFonts w:ascii="Palatino Linotype" w:hAnsi="Palatino Linotype" w:cs="TrebuchetMS-Bold"/>
      <w:b/>
      <w:bCs/>
      <w:color w:val="0070C0"/>
    </w:rPr>
  </w:style>
  <w:style w:type="paragraph" w:styleId="Heading4">
    <w:name w:val="heading 4"/>
    <w:basedOn w:val="Normal"/>
    <w:next w:val="Normal"/>
    <w:link w:val="Heading4Char"/>
    <w:uiPriority w:val="9"/>
    <w:unhideWhenUsed/>
    <w:qFormat/>
    <w:rsid w:val="00E64A8D"/>
    <w:pPr>
      <w:autoSpaceDE w:val="0"/>
      <w:autoSpaceDN w:val="0"/>
      <w:adjustRightInd w:val="0"/>
      <w:spacing w:after="0" w:line="240" w:lineRule="auto"/>
      <w:outlineLvl w:val="3"/>
    </w:pPr>
    <w:rPr>
      <w:rFonts w:ascii="Palatino Linotype" w:hAnsi="Palatino Linotype" w:cs="Arial-BoldMT"/>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7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749"/>
    <w:rPr>
      <w:rFonts w:ascii="Tahoma" w:hAnsi="Tahoma" w:cs="Tahoma"/>
      <w:sz w:val="16"/>
      <w:szCs w:val="16"/>
    </w:rPr>
  </w:style>
  <w:style w:type="paragraph" w:styleId="Header">
    <w:name w:val="header"/>
    <w:basedOn w:val="Normal"/>
    <w:link w:val="HeaderChar"/>
    <w:uiPriority w:val="99"/>
    <w:unhideWhenUsed/>
    <w:rsid w:val="00BF7A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A26"/>
  </w:style>
  <w:style w:type="paragraph" w:styleId="Footer">
    <w:name w:val="footer"/>
    <w:basedOn w:val="Normal"/>
    <w:link w:val="FooterChar"/>
    <w:uiPriority w:val="99"/>
    <w:unhideWhenUsed/>
    <w:rsid w:val="00BF7A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A26"/>
  </w:style>
  <w:style w:type="table" w:styleId="TableGrid">
    <w:name w:val="Table Grid"/>
    <w:basedOn w:val="TableNormal"/>
    <w:uiPriority w:val="59"/>
    <w:rsid w:val="00AF19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F19EB"/>
    <w:rPr>
      <w:color w:val="0079A4" w:themeColor="hyperlink"/>
      <w:u w:val="single"/>
    </w:rPr>
  </w:style>
  <w:style w:type="character" w:customStyle="1" w:styleId="Heading1Char">
    <w:name w:val="Heading 1 Char"/>
    <w:basedOn w:val="DefaultParagraphFont"/>
    <w:link w:val="Heading1"/>
    <w:uiPriority w:val="9"/>
    <w:rsid w:val="00E64A8D"/>
    <w:rPr>
      <w:rFonts w:ascii="Palatino Linotype" w:hAnsi="Palatino Linotype" w:cs="TrebuchetMS-Bold"/>
      <w:b/>
      <w:bCs/>
      <w:color w:val="0070C0"/>
      <w:sz w:val="28"/>
      <w:szCs w:val="32"/>
    </w:rPr>
  </w:style>
  <w:style w:type="character" w:customStyle="1" w:styleId="Heading2Char">
    <w:name w:val="Heading 2 Char"/>
    <w:basedOn w:val="DefaultParagraphFont"/>
    <w:link w:val="Heading2"/>
    <w:uiPriority w:val="9"/>
    <w:rsid w:val="00E64A8D"/>
    <w:rPr>
      <w:rFonts w:ascii="Palatino Linotype" w:hAnsi="Palatino Linotype" w:cs="TrebuchetMS-Bold"/>
      <w:b/>
      <w:bCs/>
      <w:color w:val="CC3300"/>
      <w:sz w:val="28"/>
      <w:szCs w:val="36"/>
    </w:rPr>
  </w:style>
  <w:style w:type="character" w:customStyle="1" w:styleId="Heading3Char">
    <w:name w:val="Heading 3 Char"/>
    <w:basedOn w:val="DefaultParagraphFont"/>
    <w:link w:val="Heading3"/>
    <w:uiPriority w:val="9"/>
    <w:rsid w:val="00E64A8D"/>
    <w:rPr>
      <w:rFonts w:ascii="Palatino Linotype" w:hAnsi="Palatino Linotype" w:cs="TrebuchetMS-Bold"/>
      <w:b/>
      <w:bCs/>
      <w:color w:val="0070C0"/>
    </w:rPr>
  </w:style>
  <w:style w:type="character" w:customStyle="1" w:styleId="Heading4Char">
    <w:name w:val="Heading 4 Char"/>
    <w:basedOn w:val="DefaultParagraphFont"/>
    <w:link w:val="Heading4"/>
    <w:uiPriority w:val="9"/>
    <w:rsid w:val="00E64A8D"/>
    <w:rPr>
      <w:rFonts w:ascii="Palatino Linotype" w:hAnsi="Palatino Linotype" w:cs="Arial-BoldMT"/>
      <w:b/>
      <w:bCs/>
      <w:color w:val="000000"/>
      <w:sz w:val="18"/>
      <w:szCs w:val="18"/>
    </w:rPr>
  </w:style>
  <w:style w:type="paragraph" w:styleId="ListParagraph">
    <w:name w:val="List Paragraph"/>
    <w:basedOn w:val="Normal"/>
    <w:uiPriority w:val="34"/>
    <w:qFormat/>
    <w:rsid w:val="00A16F6D"/>
    <w:pPr>
      <w:ind w:left="720"/>
      <w:contextualSpacing/>
    </w:pPr>
  </w:style>
  <w:style w:type="paragraph" w:styleId="NormalWeb">
    <w:name w:val="Normal (Web)"/>
    <w:basedOn w:val="Normal"/>
    <w:uiPriority w:val="99"/>
    <w:semiHidden/>
    <w:unhideWhenUsed/>
    <w:rsid w:val="00D30075"/>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799373">
      <w:bodyDiv w:val="1"/>
      <w:marLeft w:val="0"/>
      <w:marRight w:val="0"/>
      <w:marTop w:val="0"/>
      <w:marBottom w:val="0"/>
      <w:divBdr>
        <w:top w:val="none" w:sz="0" w:space="0" w:color="auto"/>
        <w:left w:val="none" w:sz="0" w:space="0" w:color="auto"/>
        <w:bottom w:val="none" w:sz="0" w:space="0" w:color="auto"/>
        <w:right w:val="none" w:sz="0" w:space="0" w:color="auto"/>
      </w:divBdr>
    </w:div>
    <w:div w:id="211786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ladinet.com/cloudenterpri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radeshow">
  <a:themeElements>
    <a:clrScheme name="Tradeshow">
      <a:dk1>
        <a:srgbClr val="3F3F3F"/>
      </a:dk1>
      <a:lt1>
        <a:srgbClr val="FFFFFF"/>
      </a:lt1>
      <a:dk2>
        <a:srgbClr val="7DAFC3"/>
      </a:dk2>
      <a:lt2>
        <a:srgbClr val="E5E4DF"/>
      </a:lt2>
      <a:accent1>
        <a:srgbClr val="7C959A"/>
      </a:accent1>
      <a:accent2>
        <a:srgbClr val="DB8631"/>
      </a:accent2>
      <a:accent3>
        <a:srgbClr val="E3CC5A"/>
      </a:accent3>
      <a:accent4>
        <a:srgbClr val="ACADA8"/>
      </a:accent4>
      <a:accent5>
        <a:srgbClr val="927C61"/>
      </a:accent5>
      <a:accent6>
        <a:srgbClr val="B3B435"/>
      </a:accent6>
      <a:hlink>
        <a:srgbClr val="0079A4"/>
      </a:hlink>
      <a:folHlink>
        <a:srgbClr val="595959"/>
      </a:folHlink>
    </a:clrScheme>
    <a:fontScheme name="Tradeshow">
      <a:majorFont>
        <a:latin typeface="Arial Black"/>
        <a:ea typeface=""/>
        <a:cs typeface=""/>
        <a:font script="Jpan" typeface="ＭＳ Ｐゴシック"/>
        <a:font script="Hang" typeface="HY견고딕"/>
        <a:font script="Hans" typeface="宋体"/>
        <a:font script="Hant" typeface="新細明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ndara"/>
        <a:ea typeface=""/>
        <a:cs typeface=""/>
        <a:font script="Jpan" typeface="ＭＳ Ｐゴシック"/>
        <a:font script="Hang" typeface="HY견명조"/>
        <a:font script="Hans" typeface="华文楷体"/>
        <a:font script="Hant" typeface="新細明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Tradeshow">
      <a:fillStyleLst>
        <a:solidFill>
          <a:schemeClr val="phClr"/>
        </a:solidFill>
        <a:gradFill rotWithShape="1">
          <a:gsLst>
            <a:gs pos="0">
              <a:schemeClr val="phClr">
                <a:tint val="45000"/>
                <a:satMod val="300000"/>
              </a:schemeClr>
            </a:gs>
            <a:gs pos="35000">
              <a:schemeClr val="phClr">
                <a:tint val="45000"/>
                <a:satMod val="300000"/>
              </a:schemeClr>
            </a:gs>
            <a:gs pos="69000">
              <a:schemeClr val="phClr">
                <a:tint val="45000"/>
                <a:satMod val="350000"/>
              </a:schemeClr>
            </a:gs>
            <a:gs pos="100000">
              <a:schemeClr val="phClr">
                <a:tint val="60000"/>
                <a:satMod val="350000"/>
              </a:schemeClr>
            </a:gs>
          </a:gsLst>
          <a:path path="circle">
            <a:fillToRect l="50000" t="50000" r="100000" b="100000"/>
          </a:path>
        </a:gradFill>
        <a:gradFill rotWithShape="1">
          <a:gsLst>
            <a:gs pos="0">
              <a:schemeClr val="phClr">
                <a:shade val="47500"/>
                <a:satMod val="137000"/>
              </a:schemeClr>
            </a:gs>
            <a:gs pos="55000">
              <a:schemeClr val="phClr">
                <a:shade val="69000"/>
                <a:satMod val="137000"/>
              </a:schemeClr>
            </a:gs>
            <a:gs pos="100000">
              <a:schemeClr val="phClr">
                <a:shade val="98000"/>
                <a:satMod val="137000"/>
              </a:schemeClr>
            </a:gs>
          </a:gsLst>
          <a:lin ang="16200000" scaled="0"/>
        </a:gradFill>
      </a:fillStyleLst>
      <a:lnStyleLst>
        <a:ln w="9525" cap="rnd" cmpd="sng" algn="ctr">
          <a:solidFill>
            <a:schemeClr val="phClr"/>
          </a:solidFill>
          <a:prstDash val="solid"/>
        </a:ln>
        <a:ln w="38475" cap="flat" cmpd="sng" algn="ctr">
          <a:solidFill>
            <a:schemeClr val="phClr"/>
          </a:solidFill>
          <a:prstDash val="solid"/>
        </a:ln>
        <a:ln w="54850" cap="flat" cmpd="sng" algn="ctr">
          <a:solidFill>
            <a:schemeClr val="phClr"/>
          </a:solidFill>
          <a:prstDash val="solid"/>
        </a:ln>
      </a:lnStyleLst>
      <a:effectStyleLst>
        <a:effectStyle>
          <a:effectLst>
            <a:outerShdw blurRad="50800" dist="25400" dir="5400000" rotWithShape="0">
              <a:srgbClr val="000000">
                <a:alpha val="55000"/>
              </a:srgbClr>
            </a:outerShdw>
          </a:effectLst>
        </a:effectStyle>
        <a:effectStyle>
          <a:effectLst>
            <a:outerShdw blurRad="50800" dist="25400" dir="5400000" rotWithShape="0">
              <a:srgbClr val="000000">
                <a:alpha val="44000"/>
              </a:srgbClr>
            </a:outerShdw>
          </a:effectLst>
        </a:effectStyle>
        <a:effectStyle>
          <a:effectLst>
            <a:outerShdw blurRad="50800" dist="25400" dir="5400000" rotWithShape="0">
              <a:srgbClr val="000000">
                <a:alpha val="55000"/>
              </a:srgbClr>
            </a:outerShdw>
          </a:effectLst>
          <a:scene3d>
            <a:camera prst="orthographicFront">
              <a:rot lat="0" lon="0" rev="0"/>
            </a:camera>
            <a:lightRig rig="brightRoom" dir="tl">
              <a:rot lat="0" lon="0" rev="3600000"/>
            </a:lightRig>
          </a:scene3d>
          <a:sp3d contourW="31750" prstMaterial="flat">
            <a:bevelT w="127000" h="254000" prst="angle"/>
            <a:contourClr>
              <a:schemeClr val="phClr">
                <a:shade val="20000"/>
              </a:schemeClr>
            </a:contourClr>
          </a:sp3d>
        </a:effectStyle>
      </a:effectStyleLst>
      <a:bgFillStyleLst>
        <a:solidFill>
          <a:schemeClr val="phClr"/>
        </a:solidFill>
        <a:gradFill rotWithShape="1">
          <a:gsLst>
            <a:gs pos="20000">
              <a:schemeClr val="phClr">
                <a:tint val="80000"/>
                <a:lumMod val="100000"/>
              </a:schemeClr>
            </a:gs>
            <a:gs pos="100000">
              <a:schemeClr val="phClr">
                <a:tint val="100000"/>
                <a:lumMod val="80000"/>
              </a:schemeClr>
            </a:gs>
          </a:gsLst>
          <a:path path="circle">
            <a:fillToRect l="50000" t="20000" r="100000" b="100000"/>
          </a:path>
        </a:gradFill>
        <a:gradFill rotWithShape="1">
          <a:gsLst>
            <a:gs pos="0">
              <a:schemeClr val="phClr">
                <a:tint val="100000"/>
                <a:lumMod val="100000"/>
              </a:schemeClr>
            </a:gs>
            <a:gs pos="100000">
              <a:schemeClr val="phClr">
                <a:shade val="100000"/>
                <a:lumMod val="60000"/>
              </a:schemeClr>
            </a:gs>
          </a:gsLst>
          <a:path path="circle">
            <a:fillToRect l="50000" t="2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zhihui</dc:creator>
  <cp:lastModifiedBy>Franklyn</cp:lastModifiedBy>
  <cp:revision>4</cp:revision>
  <cp:lastPrinted>2011-02-09T20:15:00Z</cp:lastPrinted>
  <dcterms:created xsi:type="dcterms:W3CDTF">2012-10-31T18:10:00Z</dcterms:created>
  <dcterms:modified xsi:type="dcterms:W3CDTF">2012-11-01T13:56:00Z</dcterms:modified>
</cp:coreProperties>
</file>