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E8" w:rsidRDefault="00662BE8" w:rsidP="00662BE8">
      <w:pPr>
        <w:pStyle w:val="Heading2"/>
        <w:jc w:val="right"/>
      </w:pPr>
      <w:r>
        <w:object w:dxaOrig="5355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45.75pt" o:ole="" fillcolor="window">
            <v:imagedata r:id="rId8" o:title=""/>
          </v:shape>
          <o:OLEObject Type="Embed" ProgID="MS_ClipArt_Gallery" ShapeID="_x0000_i1025" DrawAspect="Content" ObjectID="_1438429554" r:id="rId9"/>
        </w:object>
      </w:r>
    </w:p>
    <w:p w:rsidR="00662BE8" w:rsidRDefault="00662BE8" w:rsidP="00662BE8">
      <w:pPr>
        <w:pStyle w:val="Heading2"/>
        <w:rPr>
          <w:rFonts w:ascii="Century Schoolbook" w:hAnsi="Century Schoolbook"/>
          <w:b w:val="0"/>
          <w:sz w:val="24"/>
        </w:rPr>
      </w:pPr>
      <w:r>
        <w:t>News Release</w:t>
      </w:r>
    </w:p>
    <w:p w:rsidR="00662BE8" w:rsidRDefault="00662BE8" w:rsidP="00662BE8">
      <w:pPr>
        <w:rPr>
          <w:rFonts w:ascii="Century Schoolbook" w:hAnsi="Century Schoolbook"/>
          <w:b/>
        </w:rPr>
      </w:pPr>
    </w:p>
    <w:p w:rsidR="00662BE8" w:rsidRPr="00940D6A" w:rsidRDefault="00132228" w:rsidP="00662BE8">
      <w:pPr>
        <w:rPr>
          <w:rFonts w:ascii="Century Schoolbook" w:hAnsi="Century Schoolbook"/>
          <w:sz w:val="22"/>
          <w:szCs w:val="22"/>
        </w:rPr>
      </w:pPr>
      <w:r w:rsidRPr="00132228">
        <w:rPr>
          <w:rFonts w:ascii="Century Schoolbook" w:hAnsi="Century Schoolbook"/>
          <w:b/>
          <w:sz w:val="22"/>
          <w:szCs w:val="22"/>
        </w:rPr>
        <w:t>FOR IMMEDIATE RELEASE</w:t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E60ED9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>For more information, contact:</w:t>
      </w:r>
    </w:p>
    <w:p w:rsidR="0035444C" w:rsidRDefault="00AE48DE" w:rsidP="00662BE8">
      <w:pPr>
        <w:rPr>
          <w:rFonts w:ascii="Century Schoolbook" w:eastAsiaTheme="minorHAnsi" w:hAnsi="Century Schoolbook"/>
          <w:color w:val="000000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August 21</w:t>
      </w:r>
      <w:r w:rsidR="00662BE8">
        <w:rPr>
          <w:rFonts w:ascii="Century Schoolbook" w:hAnsi="Century Schoolbook"/>
          <w:sz w:val="22"/>
          <w:szCs w:val="22"/>
        </w:rPr>
        <w:t>, 2013</w:t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662BE8">
        <w:rPr>
          <w:rFonts w:ascii="Century Schoolbook" w:hAnsi="Century Schoolbook"/>
          <w:sz w:val="22"/>
          <w:szCs w:val="22"/>
        </w:rPr>
        <w:tab/>
      </w:r>
      <w:r w:rsidR="009E12D8">
        <w:rPr>
          <w:rFonts w:ascii="Century Schoolbook" w:hAnsi="Century Schoolbook"/>
          <w:sz w:val="22"/>
          <w:szCs w:val="22"/>
        </w:rPr>
        <w:tab/>
        <w:t>Stephani Simon</w:t>
      </w:r>
      <w:r w:rsidR="00662BE8" w:rsidRPr="00662BE8">
        <w:rPr>
          <w:rFonts w:ascii="Century Schoolbook" w:hAnsi="Century Schoolbook"/>
          <w:sz w:val="22"/>
          <w:szCs w:val="22"/>
        </w:rPr>
        <w:t xml:space="preserve">: </w:t>
      </w:r>
      <w:r w:rsidR="009E12D8">
        <w:rPr>
          <w:rFonts w:ascii="Century Schoolbook" w:eastAsiaTheme="minorHAnsi" w:hAnsi="Century Schoolbook"/>
          <w:color w:val="000000"/>
          <w:sz w:val="22"/>
          <w:szCs w:val="22"/>
        </w:rPr>
        <w:t>612-677-2021</w:t>
      </w:r>
    </w:p>
    <w:p w:rsidR="00662BE8" w:rsidRDefault="00662BE8" w:rsidP="00662BE8">
      <w:pPr>
        <w:pStyle w:val="Title"/>
        <w:rPr>
          <w:rFonts w:ascii="Century Schoolbook" w:hAnsi="Century Schoolbook"/>
          <w:b w:val="0"/>
          <w:sz w:val="24"/>
        </w:rPr>
      </w:pPr>
    </w:p>
    <w:p w:rsidR="00C045D3" w:rsidRDefault="00C045D3" w:rsidP="00662BE8">
      <w:pPr>
        <w:pStyle w:val="Title"/>
        <w:rPr>
          <w:rFonts w:ascii="Century Schoolbook" w:hAnsi="Century Schoolbook"/>
          <w:b w:val="0"/>
          <w:sz w:val="24"/>
        </w:rPr>
      </w:pPr>
    </w:p>
    <w:p w:rsidR="001B4452" w:rsidRDefault="001B4452" w:rsidP="00662BE8">
      <w:pPr>
        <w:spacing w:line="480" w:lineRule="exact"/>
        <w:rPr>
          <w:b/>
          <w:sz w:val="40"/>
          <w:szCs w:val="40"/>
        </w:rPr>
      </w:pPr>
      <w:r>
        <w:rPr>
          <w:b/>
          <w:sz w:val="40"/>
          <w:szCs w:val="40"/>
        </w:rPr>
        <w:t>B</w:t>
      </w:r>
      <w:r w:rsidR="009E12D8">
        <w:rPr>
          <w:b/>
          <w:sz w:val="40"/>
          <w:szCs w:val="40"/>
        </w:rPr>
        <w:t>urns &amp; McDonnell’s Minneap</w:t>
      </w:r>
      <w:bookmarkStart w:id="0" w:name="_GoBack"/>
      <w:bookmarkEnd w:id="0"/>
      <w:r w:rsidR="009E12D8">
        <w:rPr>
          <w:b/>
          <w:sz w:val="40"/>
          <w:szCs w:val="40"/>
        </w:rPr>
        <w:t>olis</w:t>
      </w:r>
      <w:r w:rsidR="005213A0">
        <w:rPr>
          <w:b/>
          <w:sz w:val="40"/>
          <w:szCs w:val="40"/>
        </w:rPr>
        <w:t>-St. Paul</w:t>
      </w:r>
      <w:r w:rsidR="009E12D8">
        <w:rPr>
          <w:b/>
          <w:sz w:val="40"/>
          <w:szCs w:val="40"/>
        </w:rPr>
        <w:t xml:space="preserve"> Office</w:t>
      </w:r>
      <w:r>
        <w:rPr>
          <w:b/>
          <w:sz w:val="40"/>
          <w:szCs w:val="40"/>
        </w:rPr>
        <w:t xml:space="preserve"> Recognized as Top </w:t>
      </w:r>
      <w:r w:rsidR="00467A9D">
        <w:rPr>
          <w:b/>
          <w:sz w:val="40"/>
          <w:szCs w:val="40"/>
        </w:rPr>
        <w:t>Workplace</w:t>
      </w:r>
    </w:p>
    <w:p w:rsidR="00662BE8" w:rsidRPr="00A96B60" w:rsidRDefault="004A62A8" w:rsidP="00662BE8">
      <w:pPr>
        <w:spacing w:line="360" w:lineRule="exact"/>
        <w:rPr>
          <w:i/>
        </w:rPr>
      </w:pPr>
      <w:r>
        <w:rPr>
          <w:i/>
        </w:rPr>
        <w:t>Firm</w:t>
      </w:r>
      <w:r w:rsidR="001B4452">
        <w:rPr>
          <w:i/>
        </w:rPr>
        <w:t xml:space="preserve"> </w:t>
      </w:r>
      <w:r w:rsidR="00A96B60">
        <w:rPr>
          <w:i/>
        </w:rPr>
        <w:t>named to Star Tribune’s Top Workplaces 2013</w:t>
      </w:r>
      <w:r w:rsidR="00A96B60">
        <w:t xml:space="preserve"> </w:t>
      </w:r>
      <w:r w:rsidR="00092E17">
        <w:rPr>
          <w:i/>
        </w:rPr>
        <w:t>and Minnesota Business’</w:t>
      </w:r>
      <w:r w:rsidR="00A96B60">
        <w:rPr>
          <w:i/>
        </w:rPr>
        <w:t xml:space="preserve"> “100 Best Companies to Work For”</w:t>
      </w:r>
    </w:p>
    <w:p w:rsidR="001B4452" w:rsidRDefault="001B4452" w:rsidP="00662BE8">
      <w:pPr>
        <w:spacing w:line="360" w:lineRule="exact"/>
      </w:pPr>
    </w:p>
    <w:p w:rsidR="00096C60" w:rsidRDefault="004C76C3" w:rsidP="004C76C3">
      <w:pPr>
        <w:spacing w:after="240" w:line="320" w:lineRule="exact"/>
      </w:pPr>
      <w:r>
        <w:t xml:space="preserve">BLOOMINGTON, MN --- </w:t>
      </w:r>
      <w:r w:rsidR="00E60ED9">
        <w:t xml:space="preserve">Most companies are lucky to be named to the prestigious </w:t>
      </w:r>
      <w:hyperlink r:id="rId10" w:history="1">
        <w:r w:rsidR="00E60ED9" w:rsidRPr="0058018A">
          <w:rPr>
            <w:rStyle w:val="Hyperlink"/>
            <w:i/>
          </w:rPr>
          <w:t>Star Tribune</w:t>
        </w:r>
      </w:hyperlink>
      <w:r w:rsidR="00E60ED9">
        <w:t xml:space="preserve"> Top Workplaces l</w:t>
      </w:r>
      <w:r w:rsidR="00AB67F6">
        <w:t>ist</w:t>
      </w:r>
      <w:r w:rsidR="00A966A0">
        <w:t xml:space="preserve"> one time</w:t>
      </w:r>
      <w:r w:rsidR="00B936F0">
        <w:t>,</w:t>
      </w:r>
      <w:r w:rsidR="00AB67F6">
        <w:t xml:space="preserve"> but</w:t>
      </w:r>
      <w:r w:rsidR="00E60ED9">
        <w:t xml:space="preserve"> Burns &amp; McDonnell’s Minneapolis-St. Paul office</w:t>
      </w:r>
      <w:r w:rsidR="00AB67F6">
        <w:t xml:space="preserve"> proved their award-winning culture is no fluke by being named to the list two years in a row.</w:t>
      </w:r>
      <w:r w:rsidR="00E60ED9">
        <w:t xml:space="preserve"> </w:t>
      </w:r>
      <w:r w:rsidR="00392F6F">
        <w:t>And, as if that</w:t>
      </w:r>
      <w:r w:rsidR="00E60ED9">
        <w:t xml:space="preserve"> </w:t>
      </w:r>
      <w:r w:rsidR="00C82A20">
        <w:t>wasn’t</w:t>
      </w:r>
      <w:r w:rsidR="007870E8">
        <w:t xml:space="preserve"> enough</w:t>
      </w:r>
      <w:r w:rsidR="00E60ED9">
        <w:t xml:space="preserve">, the office was also recognized as one of the “100 Best Companies to Work For” in 2013 by </w:t>
      </w:r>
      <w:hyperlink r:id="rId11" w:history="1">
        <w:r w:rsidR="00E60ED9" w:rsidRPr="00A472BA">
          <w:rPr>
            <w:rStyle w:val="Hyperlink"/>
            <w:i/>
          </w:rPr>
          <w:t>Minnesota Business</w:t>
        </w:r>
      </w:hyperlink>
      <w:r w:rsidR="00E60ED9">
        <w:t xml:space="preserve">. The </w:t>
      </w:r>
      <w:r w:rsidR="00392F6F">
        <w:t xml:space="preserve">awards </w:t>
      </w:r>
      <w:r w:rsidR="00E60ED9">
        <w:t xml:space="preserve">highlight the best-performing and </w:t>
      </w:r>
      <w:r w:rsidR="00096C60">
        <w:t>most progressive companies in Minnesota based on employee opinions about factors such as organizational health, work environment, employee benefits, job expectations and employee happiness.</w:t>
      </w:r>
    </w:p>
    <w:p w:rsidR="004C76C3" w:rsidRDefault="004C76C3" w:rsidP="004C76C3">
      <w:pPr>
        <w:spacing w:after="240" w:line="320" w:lineRule="exact"/>
      </w:pPr>
      <w:r>
        <w:t>“I’m very proud to work at a place like Burns &amp; McDonnell,</w:t>
      </w:r>
      <w:r w:rsidR="00576245">
        <w:t xml:space="preserve"> where the culture is inclusive, collaborative and fun,</w:t>
      </w:r>
      <w:r>
        <w:t xml:space="preserve">” said Gene Sieve, office manager of the firm’s Minneapolis-St. Paul location. “We strive to make work rewarding and fulfilling for our employees, so earning this recognition </w:t>
      </w:r>
      <w:r w:rsidR="00B35759">
        <w:t>reinforces that mission.</w:t>
      </w:r>
      <w:r w:rsidR="00EB1449">
        <w:t>”</w:t>
      </w:r>
      <w:r w:rsidR="00F85D1F">
        <w:t xml:space="preserve"> </w:t>
      </w:r>
    </w:p>
    <w:p w:rsidR="00DB54C8" w:rsidRDefault="00CE5425" w:rsidP="002C799D">
      <w:pPr>
        <w:spacing w:after="240" w:line="320" w:lineRule="exact"/>
      </w:pPr>
      <w:r>
        <w:t xml:space="preserve">The </w:t>
      </w:r>
      <w:r>
        <w:rPr>
          <w:i/>
        </w:rPr>
        <w:t xml:space="preserve">Star Tribune </w:t>
      </w:r>
      <w:r>
        <w:t>also cited the camaraderie that stems from employee ownership a</w:t>
      </w:r>
      <w:r w:rsidR="000E5774">
        <w:t>s a reason for Burns &amp; McDonnell’s inclusion on the list</w:t>
      </w:r>
      <w:r>
        <w:t xml:space="preserve">. </w:t>
      </w:r>
      <w:r w:rsidR="003D1C3F">
        <w:t xml:space="preserve">The empowerment </w:t>
      </w:r>
      <w:r w:rsidR="00EA5142">
        <w:t>workers</w:t>
      </w:r>
      <w:r w:rsidR="003D1C3F">
        <w:t xml:space="preserve"> feel as an employee-owner translates into higher quality work and</w:t>
      </w:r>
      <w:r w:rsidR="002359AC">
        <w:t>, as a result,</w:t>
      </w:r>
      <w:r w:rsidR="003D1C3F">
        <w:t xml:space="preserve"> greater client satisfaction.</w:t>
      </w:r>
      <w:r w:rsidR="00695734">
        <w:t xml:space="preserve"> </w:t>
      </w:r>
      <w:r w:rsidR="00E0076C">
        <w:t xml:space="preserve">The firm has been recognized nationwide as a place where both employees and clients are happy to be a part of or work with </w:t>
      </w:r>
      <w:r w:rsidR="00BA2C7C" w:rsidRPr="00E0076C">
        <w:t>Burns</w:t>
      </w:r>
      <w:r w:rsidR="00E0076C">
        <w:t xml:space="preserve"> &amp; McDonnell.</w:t>
      </w:r>
      <w:r w:rsidR="00BA2C7C">
        <w:t xml:space="preserve"> </w:t>
      </w:r>
      <w:r w:rsidR="00E0076C">
        <w:t xml:space="preserve">In addition to having been named to </w:t>
      </w:r>
      <w:r w:rsidR="00E0076C">
        <w:rPr>
          <w:i/>
        </w:rPr>
        <w:t xml:space="preserve">Fortune </w:t>
      </w:r>
      <w:r w:rsidR="00E0076C">
        <w:t xml:space="preserve">magazine’s 2012 list of the ‘100 Best Companies to Work For,’ Burns &amp; McDonnell </w:t>
      </w:r>
      <w:r w:rsidR="00BA2C7C" w:rsidRPr="00E0076C">
        <w:t>has</w:t>
      </w:r>
      <w:r w:rsidR="00E0076C">
        <w:t xml:space="preserve"> also</w:t>
      </w:r>
      <w:r w:rsidR="006D7077">
        <w:t xml:space="preserve"> won PSMJ Resource, Inc.’s</w:t>
      </w:r>
      <w:r w:rsidR="00BA2C7C">
        <w:t xml:space="preserve"> Premier Award for Client Satisfaction each of the past three years</w:t>
      </w:r>
      <w:r w:rsidR="00464ACC">
        <w:t>, one of just two companies to do so.</w:t>
      </w:r>
    </w:p>
    <w:p w:rsidR="00464ACC" w:rsidRDefault="00CB05EE" w:rsidP="004C76C3">
      <w:pPr>
        <w:spacing w:after="240" w:line="320" w:lineRule="exact"/>
      </w:pPr>
      <w:r>
        <w:lastRenderedPageBreak/>
        <w:t>Established in 2007</w:t>
      </w:r>
      <w:r w:rsidR="007362CC">
        <w:t>,</w:t>
      </w:r>
      <w:r>
        <w:t xml:space="preserve"> and with a wo</w:t>
      </w:r>
      <w:r w:rsidR="00D4316C">
        <w:t xml:space="preserve">rkforce expected to </w:t>
      </w:r>
      <w:r w:rsidR="00C00FDB">
        <w:t>grow</w:t>
      </w:r>
      <w:r w:rsidR="00D4316C">
        <w:t xml:space="preserve"> to 100 </w:t>
      </w:r>
      <w:r>
        <w:t xml:space="preserve">by </w:t>
      </w:r>
      <w:r w:rsidR="00D4316C">
        <w:t>2015</w:t>
      </w:r>
      <w:r>
        <w:t xml:space="preserve">, the Minneapolis-St. Paul office has </w:t>
      </w:r>
      <w:r w:rsidR="00522A21">
        <w:t xml:space="preserve">quickly attracted top engineering and architectural talent and </w:t>
      </w:r>
      <w:r>
        <w:t xml:space="preserve">become a company leader in a number of architectural and engineering </w:t>
      </w:r>
      <w:r w:rsidR="007870E8">
        <w:t>niches</w:t>
      </w:r>
      <w:r>
        <w:t>, including fire protection</w:t>
      </w:r>
      <w:r w:rsidR="007870E8">
        <w:t xml:space="preserve"> engineering and commissioning, solid waste</w:t>
      </w:r>
      <w:r>
        <w:t xml:space="preserve"> and Leadership in Energy and Environmental Design</w:t>
      </w:r>
      <w:r w:rsidR="002E4B71">
        <w:t xml:space="preserve"> (LEED)</w:t>
      </w:r>
      <w:r>
        <w:t>.</w:t>
      </w:r>
      <w:r w:rsidR="00270627">
        <w:t xml:space="preserve"> </w:t>
      </w:r>
      <w:r w:rsidR="00270627">
        <w:rPr>
          <w:i/>
        </w:rPr>
        <w:t>Finance &amp; Commerce</w:t>
      </w:r>
      <w:r w:rsidR="00270627">
        <w:t xml:space="preserve"> recently featured the office in its 2013 edition of “</w:t>
      </w:r>
      <w:hyperlink r:id="rId12" w:history="1">
        <w:r w:rsidR="00270627" w:rsidRPr="00204C66">
          <w:rPr>
            <w:rStyle w:val="Hyperlink"/>
          </w:rPr>
          <w:t>Progress Minnesota</w:t>
        </w:r>
      </w:hyperlink>
      <w:r w:rsidR="00270627">
        <w:t>,” an awards program that recognizes companies who drive business growth and economic development in unique and innovative ways.</w:t>
      </w:r>
    </w:p>
    <w:p w:rsidR="0041181B" w:rsidRDefault="0041181B" w:rsidP="004C76C3">
      <w:pPr>
        <w:spacing w:after="240" w:line="320" w:lineRule="exact"/>
      </w:pPr>
      <w:r>
        <w:t>“Whether it’s at the national, regional or local level, Burns &amp; McDonne</w:t>
      </w:r>
      <w:r w:rsidR="00514F4B">
        <w:t xml:space="preserve">ll has a reputation </w:t>
      </w:r>
      <w:r w:rsidR="00FF1F2E">
        <w:t xml:space="preserve">for </w:t>
      </w:r>
      <w:r w:rsidR="00514F4B">
        <w:t>employee and client satisfaction</w:t>
      </w:r>
      <w:r w:rsidR="00A0395F">
        <w:t xml:space="preserve">,” </w:t>
      </w:r>
      <w:r w:rsidR="00514F4B">
        <w:t>Sieve said. “And with</w:t>
      </w:r>
      <w:r w:rsidR="00EF5361">
        <w:t xml:space="preserve"> our Minneapolis</w:t>
      </w:r>
      <w:r w:rsidR="005213A0">
        <w:t>-St. Paul</w:t>
      </w:r>
      <w:r w:rsidR="00EF5361">
        <w:t xml:space="preserve"> office expecting</w:t>
      </w:r>
      <w:r w:rsidR="00514F4B">
        <w:t xml:space="preserve"> to grow nearly 40 percent by 2015, we will </w:t>
      </w:r>
      <w:r w:rsidR="00A0395F">
        <w:t xml:space="preserve">continue to </w:t>
      </w:r>
      <w:r w:rsidR="00EB5A3A">
        <w:t>draw</w:t>
      </w:r>
      <w:r w:rsidR="00A0395F">
        <w:t xml:space="preserve"> the best and brightest </w:t>
      </w:r>
      <w:r w:rsidR="00EB5A3A">
        <w:t xml:space="preserve">talent </w:t>
      </w:r>
      <w:r w:rsidR="00A0395F">
        <w:t>as we</w:t>
      </w:r>
      <w:r w:rsidR="00F85D1F">
        <w:t xml:space="preserve"> aim</w:t>
      </w:r>
      <w:r w:rsidR="00A0395F">
        <w:t xml:space="preserve"> to provide</w:t>
      </w:r>
      <w:r w:rsidR="00514F4B">
        <w:t xml:space="preserve"> top-level service </w:t>
      </w:r>
      <w:r w:rsidR="00101554">
        <w:t xml:space="preserve">to clients throughout Minnesota and the </w:t>
      </w:r>
      <w:r w:rsidR="00400844">
        <w:t xml:space="preserve">surrounding </w:t>
      </w:r>
      <w:r w:rsidR="00101554">
        <w:t>region.”</w:t>
      </w:r>
    </w:p>
    <w:p w:rsidR="00700386" w:rsidRDefault="003D4322" w:rsidP="00392F6F">
      <w:pPr>
        <w:spacing w:after="240" w:line="320" w:lineRule="exact"/>
        <w:rPr>
          <w:b/>
          <w:bCs/>
          <w:color w:val="333333"/>
        </w:rPr>
      </w:pPr>
      <w:r w:rsidRPr="00392F6F">
        <w:rPr>
          <w:i/>
          <w:color w:val="000000"/>
          <w:lang w:val="en"/>
        </w:rPr>
        <w:t>Star Tribune</w:t>
      </w:r>
      <w:r w:rsidRPr="003D4322">
        <w:rPr>
          <w:color w:val="000000"/>
          <w:lang w:val="en"/>
        </w:rPr>
        <w:t xml:space="preserve"> Top Workplaces were selected from the results of employee surveys conducted by </w:t>
      </w:r>
      <w:proofErr w:type="spellStart"/>
      <w:r w:rsidRPr="003D4322">
        <w:rPr>
          <w:color w:val="000000"/>
          <w:lang w:val="en"/>
        </w:rPr>
        <w:t>WorkplaceDynamics</w:t>
      </w:r>
      <w:proofErr w:type="spellEnd"/>
      <w:r w:rsidRPr="003D4322">
        <w:rPr>
          <w:color w:val="000000"/>
          <w:lang w:val="en"/>
        </w:rPr>
        <w:t>, an independent company that measures organizational health, job expectations and employee engagement.</w:t>
      </w:r>
      <w:r w:rsidR="00F322A1">
        <w:rPr>
          <w:color w:val="000000"/>
          <w:lang w:val="en"/>
        </w:rPr>
        <w:t xml:space="preserve"> In </w:t>
      </w:r>
      <w:r w:rsidR="00F322A1">
        <w:rPr>
          <w:i/>
          <w:color w:val="000000"/>
          <w:lang w:val="en"/>
        </w:rPr>
        <w:t xml:space="preserve">Minnesota Business’ </w:t>
      </w:r>
      <w:r w:rsidR="00F322A1">
        <w:rPr>
          <w:color w:val="000000"/>
          <w:lang w:val="en"/>
        </w:rPr>
        <w:t xml:space="preserve">second annual “100 Best Companies to Work For,” the companies chosen were selected using data gathered from an anonymous employee satisfaction survey. </w:t>
      </w:r>
    </w:p>
    <w:p w:rsidR="00662BE8" w:rsidRPr="00426DD3" w:rsidRDefault="00662BE8" w:rsidP="00F322A1">
      <w:pPr>
        <w:pStyle w:val="NormalWeb"/>
        <w:shd w:val="clear" w:color="auto" w:fill="FFFFFF" w:themeFill="background1"/>
        <w:spacing w:before="0" w:beforeAutospacing="0" w:after="240" w:afterAutospacing="0" w:line="320" w:lineRule="exact"/>
        <w:rPr>
          <w:b/>
          <w:bCs/>
          <w:color w:val="333333"/>
        </w:rPr>
      </w:pPr>
      <w:r w:rsidRPr="00426DD3">
        <w:rPr>
          <w:b/>
          <w:bCs/>
          <w:color w:val="333333"/>
        </w:rPr>
        <w:t>About Burns &amp; McDonnell</w:t>
      </w:r>
    </w:p>
    <w:p w:rsidR="00662BE8" w:rsidRPr="00426DD3" w:rsidRDefault="00662BE8" w:rsidP="00F322A1">
      <w:pPr>
        <w:shd w:val="clear" w:color="auto" w:fill="FFFFFF" w:themeFill="background1"/>
        <w:spacing w:after="240" w:line="320" w:lineRule="exact"/>
      </w:pPr>
      <w:r w:rsidRPr="004227FA">
        <w:t>Founded in 1898, Burns &amp; McDonnell is a 100 percent employee-owned, full-service engineering, architecture, construction, environmental and consulting services firm. Burns &amp; McDonnell is currently the 20</w:t>
      </w:r>
      <w:r w:rsidRPr="004227FA">
        <w:rPr>
          <w:vertAlign w:val="superscript"/>
        </w:rPr>
        <w:t>th</w:t>
      </w:r>
      <w:r w:rsidRPr="004227FA">
        <w:t xml:space="preserve"> largest AEC firm in the </w:t>
      </w:r>
      <w:r w:rsidRPr="004227FA">
        <w:rPr>
          <w:i/>
        </w:rPr>
        <w:t>Engineering News-Record</w:t>
      </w:r>
      <w:r>
        <w:t xml:space="preserve"> Top 500 ranking.</w:t>
      </w:r>
      <w:r w:rsidRPr="004227FA">
        <w:t xml:space="preserve"> With the multi-disciplinary expertise of more than </w:t>
      </w:r>
      <w:r w:rsidR="00BA7FEC">
        <w:t>4,000</w:t>
      </w:r>
      <w:r w:rsidRPr="004227FA">
        <w:t xml:space="preserve"> professionals in more than 30 regional, national and international offices, Burns &amp; McDonnell plans, designs, permits, constructs and manages facilities worldwide with one mission in mind – to make our clients successful.</w:t>
      </w:r>
      <w:r>
        <w:t xml:space="preserve"> </w:t>
      </w:r>
      <w:r w:rsidRPr="00426DD3">
        <w:t>For more information about Burns &amp;</w:t>
      </w:r>
      <w:r>
        <w:t xml:space="preserve"> McDonnell, visit</w:t>
      </w:r>
      <w:r w:rsidRPr="00426DD3">
        <w:t xml:space="preserve"> </w:t>
      </w:r>
      <w:hyperlink r:id="rId13" w:history="1">
        <w:r w:rsidRPr="00426DD3">
          <w:rPr>
            <w:rStyle w:val="Hyperlink"/>
          </w:rPr>
          <w:t>www.burnsmcd.com</w:t>
        </w:r>
      </w:hyperlink>
      <w:r w:rsidRPr="00426DD3">
        <w:t>.</w:t>
      </w:r>
    </w:p>
    <w:p w:rsidR="00662BE8" w:rsidRPr="00C661D3" w:rsidRDefault="00662BE8" w:rsidP="00662BE8">
      <w:pPr>
        <w:spacing w:after="240" w:line="320" w:lineRule="exact"/>
        <w:jc w:val="center"/>
        <w:rPr>
          <w:rFonts w:cs="Arial"/>
          <w:b/>
        </w:rPr>
      </w:pPr>
      <w:r>
        <w:t>###</w:t>
      </w:r>
    </w:p>
    <w:p w:rsidR="005F1BC7" w:rsidRDefault="005F1BC7"/>
    <w:sectPr w:rsidR="005F1BC7" w:rsidSect="004E2CE2">
      <w:headerReference w:type="default" r:id="rId14"/>
      <w:footerReference w:type="default" r:id="rId15"/>
      <w:footerReference w:type="first" r:id="rId16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E7" w:rsidRDefault="008A40E7">
      <w:r>
        <w:separator/>
      </w:r>
    </w:p>
  </w:endnote>
  <w:endnote w:type="continuationSeparator" w:id="0">
    <w:p w:rsidR="008A40E7" w:rsidRDefault="008A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E2" w:rsidRDefault="004E2CE2" w:rsidP="004E2CE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E2" w:rsidRDefault="004E2CE2" w:rsidP="004E2CE2">
    <w:pPr>
      <w:pStyle w:val="Footer"/>
      <w:jc w:val="center"/>
    </w:pPr>
    <w:r>
      <w:t>-</w:t>
    </w:r>
    <w:proofErr w:type="gramStart"/>
    <w:r>
      <w:t>more</w:t>
    </w:r>
    <w:proofErr w:type="gramEnd"/>
    <w:r>
      <w:t>-</w:t>
    </w:r>
  </w:p>
  <w:p w:rsidR="004E2CE2" w:rsidRDefault="004E2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E7" w:rsidRDefault="008A40E7">
      <w:r>
        <w:separator/>
      </w:r>
    </w:p>
  </w:footnote>
  <w:footnote w:type="continuationSeparator" w:id="0">
    <w:p w:rsidR="008A40E7" w:rsidRDefault="008A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B4" w:rsidRDefault="004E2CE2" w:rsidP="004E2CE2">
    <w:pPr>
      <w:pStyle w:val="Header"/>
    </w:pPr>
    <w:r>
      <w:t>Burns &amp; McDonnell Recognized as Top Workplace – 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E8"/>
    <w:rsid w:val="00023158"/>
    <w:rsid w:val="00070DE1"/>
    <w:rsid w:val="00073675"/>
    <w:rsid w:val="00092E17"/>
    <w:rsid w:val="00096C60"/>
    <w:rsid w:val="000A7958"/>
    <w:rsid w:val="000D7160"/>
    <w:rsid w:val="000E5774"/>
    <w:rsid w:val="00101554"/>
    <w:rsid w:val="00111BB8"/>
    <w:rsid w:val="00126253"/>
    <w:rsid w:val="00132228"/>
    <w:rsid w:val="00161685"/>
    <w:rsid w:val="00180EAA"/>
    <w:rsid w:val="001A6AE4"/>
    <w:rsid w:val="001A74A7"/>
    <w:rsid w:val="001B1EDF"/>
    <w:rsid w:val="001B4452"/>
    <w:rsid w:val="00204C66"/>
    <w:rsid w:val="002073CD"/>
    <w:rsid w:val="00223C9E"/>
    <w:rsid w:val="00230428"/>
    <w:rsid w:val="002359AC"/>
    <w:rsid w:val="00246EA9"/>
    <w:rsid w:val="00256857"/>
    <w:rsid w:val="00270627"/>
    <w:rsid w:val="002A0FEC"/>
    <w:rsid w:val="002C43FC"/>
    <w:rsid w:val="002C799D"/>
    <w:rsid w:val="002D157E"/>
    <w:rsid w:val="002D7916"/>
    <w:rsid w:val="002E18BC"/>
    <w:rsid w:val="002E1A78"/>
    <w:rsid w:val="002E4B71"/>
    <w:rsid w:val="00316195"/>
    <w:rsid w:val="0035444C"/>
    <w:rsid w:val="0035728F"/>
    <w:rsid w:val="00362948"/>
    <w:rsid w:val="00376962"/>
    <w:rsid w:val="00392F6F"/>
    <w:rsid w:val="003D1C3F"/>
    <w:rsid w:val="003D4322"/>
    <w:rsid w:val="003D6203"/>
    <w:rsid w:val="003F5EA7"/>
    <w:rsid w:val="00400195"/>
    <w:rsid w:val="00400844"/>
    <w:rsid w:val="0041181B"/>
    <w:rsid w:val="00412801"/>
    <w:rsid w:val="00417456"/>
    <w:rsid w:val="0042493F"/>
    <w:rsid w:val="00464ACC"/>
    <w:rsid w:val="00467A9D"/>
    <w:rsid w:val="004A3637"/>
    <w:rsid w:val="004A62A8"/>
    <w:rsid w:val="004B1C19"/>
    <w:rsid w:val="004C76C3"/>
    <w:rsid w:val="004E2CE2"/>
    <w:rsid w:val="004F381D"/>
    <w:rsid w:val="004F5782"/>
    <w:rsid w:val="00514F4B"/>
    <w:rsid w:val="005213A0"/>
    <w:rsid w:val="00522A21"/>
    <w:rsid w:val="00561779"/>
    <w:rsid w:val="00576245"/>
    <w:rsid w:val="0058018A"/>
    <w:rsid w:val="00590FC7"/>
    <w:rsid w:val="005D15A9"/>
    <w:rsid w:val="005E064A"/>
    <w:rsid w:val="005E566F"/>
    <w:rsid w:val="005F1BC7"/>
    <w:rsid w:val="00604F98"/>
    <w:rsid w:val="00616399"/>
    <w:rsid w:val="00635753"/>
    <w:rsid w:val="00650325"/>
    <w:rsid w:val="00662BE8"/>
    <w:rsid w:val="00684FD8"/>
    <w:rsid w:val="00695734"/>
    <w:rsid w:val="006A5811"/>
    <w:rsid w:val="006D7077"/>
    <w:rsid w:val="00700386"/>
    <w:rsid w:val="007122AF"/>
    <w:rsid w:val="007362CC"/>
    <w:rsid w:val="00741C07"/>
    <w:rsid w:val="00753563"/>
    <w:rsid w:val="00767974"/>
    <w:rsid w:val="007870E8"/>
    <w:rsid w:val="007B7013"/>
    <w:rsid w:val="0080665A"/>
    <w:rsid w:val="00832EFD"/>
    <w:rsid w:val="008362F7"/>
    <w:rsid w:val="008904CC"/>
    <w:rsid w:val="008A40E7"/>
    <w:rsid w:val="008F10F5"/>
    <w:rsid w:val="00913DFA"/>
    <w:rsid w:val="00920488"/>
    <w:rsid w:val="00921C0E"/>
    <w:rsid w:val="00951996"/>
    <w:rsid w:val="00955716"/>
    <w:rsid w:val="00975A92"/>
    <w:rsid w:val="009E12D8"/>
    <w:rsid w:val="009F276F"/>
    <w:rsid w:val="00A00663"/>
    <w:rsid w:val="00A0395F"/>
    <w:rsid w:val="00A235CB"/>
    <w:rsid w:val="00A2792E"/>
    <w:rsid w:val="00A30038"/>
    <w:rsid w:val="00A472BA"/>
    <w:rsid w:val="00A5577B"/>
    <w:rsid w:val="00A966A0"/>
    <w:rsid w:val="00A96B60"/>
    <w:rsid w:val="00AA3F47"/>
    <w:rsid w:val="00AA43FE"/>
    <w:rsid w:val="00AB59C6"/>
    <w:rsid w:val="00AB67F6"/>
    <w:rsid w:val="00AC5529"/>
    <w:rsid w:val="00AE48DE"/>
    <w:rsid w:val="00AF3170"/>
    <w:rsid w:val="00B04AA5"/>
    <w:rsid w:val="00B35759"/>
    <w:rsid w:val="00B65483"/>
    <w:rsid w:val="00B71D5E"/>
    <w:rsid w:val="00B742AF"/>
    <w:rsid w:val="00B76D54"/>
    <w:rsid w:val="00B82950"/>
    <w:rsid w:val="00B936F0"/>
    <w:rsid w:val="00BA2C7C"/>
    <w:rsid w:val="00BA30BC"/>
    <w:rsid w:val="00BA7FEC"/>
    <w:rsid w:val="00BF305F"/>
    <w:rsid w:val="00C00FDB"/>
    <w:rsid w:val="00C045D3"/>
    <w:rsid w:val="00C16BBC"/>
    <w:rsid w:val="00C334BA"/>
    <w:rsid w:val="00C82A20"/>
    <w:rsid w:val="00CB05EE"/>
    <w:rsid w:val="00CD6F97"/>
    <w:rsid w:val="00CE32DD"/>
    <w:rsid w:val="00CE5425"/>
    <w:rsid w:val="00CF2A01"/>
    <w:rsid w:val="00D4316C"/>
    <w:rsid w:val="00D83316"/>
    <w:rsid w:val="00D904DE"/>
    <w:rsid w:val="00D90CF7"/>
    <w:rsid w:val="00DB54C8"/>
    <w:rsid w:val="00DD21D7"/>
    <w:rsid w:val="00E0076C"/>
    <w:rsid w:val="00E3582D"/>
    <w:rsid w:val="00E60ED9"/>
    <w:rsid w:val="00E83890"/>
    <w:rsid w:val="00EA5142"/>
    <w:rsid w:val="00EB1449"/>
    <w:rsid w:val="00EB2CAD"/>
    <w:rsid w:val="00EB5A3A"/>
    <w:rsid w:val="00EC7ED7"/>
    <w:rsid w:val="00EE0FA0"/>
    <w:rsid w:val="00EF5361"/>
    <w:rsid w:val="00F01B51"/>
    <w:rsid w:val="00F322A1"/>
    <w:rsid w:val="00F85D1F"/>
    <w:rsid w:val="00F95156"/>
    <w:rsid w:val="00F9668E"/>
    <w:rsid w:val="00FA18B4"/>
    <w:rsid w:val="00FC76D4"/>
    <w:rsid w:val="00FE24FB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2BE8"/>
    <w:pPr>
      <w:keepNext/>
      <w:jc w:val="center"/>
      <w:outlineLvl w:val="1"/>
    </w:pPr>
    <w:rPr>
      <w:rFonts w:ascii="Arial" w:hAnsi="Arial"/>
      <w:b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2BE8"/>
    <w:rPr>
      <w:rFonts w:ascii="Arial" w:eastAsia="Times New Roman" w:hAnsi="Arial" w:cs="Times New Roman"/>
      <w:b/>
      <w:sz w:val="96"/>
      <w:szCs w:val="20"/>
    </w:rPr>
  </w:style>
  <w:style w:type="character" w:styleId="Hyperlink">
    <w:name w:val="Hyperlink"/>
    <w:rsid w:val="00662BE8"/>
    <w:rPr>
      <w:color w:val="006633"/>
      <w:u w:val="single"/>
    </w:rPr>
  </w:style>
  <w:style w:type="paragraph" w:styleId="HTMLPreformatted">
    <w:name w:val="HTML Preformatted"/>
    <w:basedOn w:val="Normal"/>
    <w:link w:val="HTMLPreformattedChar"/>
    <w:rsid w:val="00662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2BE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662B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2BE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62BE8"/>
    <w:pPr>
      <w:jc w:val="center"/>
    </w:pPr>
    <w:rPr>
      <w:rFonts w:ascii="NewCenturySchlbk" w:hAnsi="NewCenturySchlb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62BE8"/>
    <w:rPr>
      <w:rFonts w:ascii="NewCenturySchlbk" w:eastAsia="Times New Roman" w:hAnsi="NewCenturySchlbk" w:cs="Times New Roman"/>
      <w:b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662BE8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67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A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A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9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7A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A5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2BE8"/>
    <w:pPr>
      <w:keepNext/>
      <w:jc w:val="center"/>
      <w:outlineLvl w:val="1"/>
    </w:pPr>
    <w:rPr>
      <w:rFonts w:ascii="Arial" w:hAnsi="Arial"/>
      <w:b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2BE8"/>
    <w:rPr>
      <w:rFonts w:ascii="Arial" w:eastAsia="Times New Roman" w:hAnsi="Arial" w:cs="Times New Roman"/>
      <w:b/>
      <w:sz w:val="96"/>
      <w:szCs w:val="20"/>
    </w:rPr>
  </w:style>
  <w:style w:type="character" w:styleId="Hyperlink">
    <w:name w:val="Hyperlink"/>
    <w:rsid w:val="00662BE8"/>
    <w:rPr>
      <w:color w:val="006633"/>
      <w:u w:val="single"/>
    </w:rPr>
  </w:style>
  <w:style w:type="paragraph" w:styleId="HTMLPreformatted">
    <w:name w:val="HTML Preformatted"/>
    <w:basedOn w:val="Normal"/>
    <w:link w:val="HTMLPreformattedChar"/>
    <w:rsid w:val="00662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2BE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662B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2BE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62BE8"/>
    <w:pPr>
      <w:jc w:val="center"/>
    </w:pPr>
    <w:rPr>
      <w:rFonts w:ascii="NewCenturySchlbk" w:hAnsi="NewCenturySchlb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62BE8"/>
    <w:rPr>
      <w:rFonts w:ascii="NewCenturySchlbk" w:eastAsia="Times New Roman" w:hAnsi="NewCenturySchlbk" w:cs="Times New Roman"/>
      <w:b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662BE8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67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A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A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9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7A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A5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rnsmcd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nance-commerce.com/2013/04/progress-mn-burns-mcdonnell-engineering-co-inc-minnesota-offi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nesotabusiness.com/100best20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artribune.com/jobs/topworkplaces/211256301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9BD6-18E5-4AC3-8402-A76B802C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9</cp:revision>
  <dcterms:created xsi:type="dcterms:W3CDTF">2013-08-19T15:30:00Z</dcterms:created>
  <dcterms:modified xsi:type="dcterms:W3CDTF">2013-08-19T19:59:00Z</dcterms:modified>
</cp:coreProperties>
</file>