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1D" w:rsidRDefault="007B4DD2" w:rsidP="00F1071D">
      <w:pPr>
        <w:pStyle w:val="Header"/>
        <w:rPr>
          <w:rFonts w:ascii="Arial" w:hAnsi="Arial" w:cs="Arial"/>
        </w:rPr>
      </w:pPr>
      <w:r>
        <w:rPr>
          <w:rFonts w:ascii="Arial" w:hAnsi="Arial" w:cs="Arial"/>
          <w:b/>
          <w:bCs/>
          <w:noProof/>
          <w:sz w:val="22"/>
          <w:szCs w:val="22"/>
        </w:rPr>
        <w:drawing>
          <wp:anchor distT="0" distB="0" distL="114300" distR="114300" simplePos="0" relativeHeight="251661312" behindDoc="0" locked="0" layoutInCell="1" allowOverlap="1" wp14:anchorId="3EA204CC" wp14:editId="689EE471">
            <wp:simplePos x="0" y="0"/>
            <wp:positionH relativeFrom="column">
              <wp:posOffset>4848225</wp:posOffset>
            </wp:positionH>
            <wp:positionV relativeFrom="paragraph">
              <wp:posOffset>-553720</wp:posOffset>
            </wp:positionV>
            <wp:extent cx="1238250" cy="523875"/>
            <wp:effectExtent l="0" t="0" r="0" b="9525"/>
            <wp:wrapNone/>
            <wp:docPr id="1" name="Picture 0" descr="UTi-logo-PM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ogo-PMS-(r).png"/>
                    <pic:cNvPicPr/>
                  </pic:nvPicPr>
                  <pic:blipFill>
                    <a:blip r:embed="rId8" cstate="print"/>
                    <a:stretch>
                      <a:fillRect/>
                    </a:stretch>
                  </pic:blipFill>
                  <pic:spPr>
                    <a:xfrm>
                      <a:off x="0" y="0"/>
                      <a:ext cx="1238250" cy="523875"/>
                    </a:xfrm>
                    <a:prstGeom prst="rect">
                      <a:avLst/>
                    </a:prstGeom>
                  </pic:spPr>
                </pic:pic>
              </a:graphicData>
            </a:graphic>
          </wp:anchor>
        </w:drawing>
      </w:r>
      <w:r>
        <w:rPr>
          <w:rFonts w:ascii="Arial" w:hAnsi="Arial" w:cs="Arial"/>
          <w:b/>
          <w:bCs/>
          <w:noProof/>
          <w:sz w:val="22"/>
          <w:szCs w:val="22"/>
        </w:rPr>
        <mc:AlternateContent>
          <mc:Choice Requires="wps">
            <w:drawing>
              <wp:anchor distT="0" distB="0" distL="114300" distR="114300" simplePos="0" relativeHeight="251659264" behindDoc="1" locked="0" layoutInCell="1" allowOverlap="1" wp14:anchorId="6077F1EC" wp14:editId="7488C95E">
                <wp:simplePos x="0" y="0"/>
                <wp:positionH relativeFrom="column">
                  <wp:posOffset>3355340</wp:posOffset>
                </wp:positionH>
                <wp:positionV relativeFrom="paragraph">
                  <wp:posOffset>-487045</wp:posOffset>
                </wp:positionV>
                <wp:extent cx="153098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2pt;margin-top:-38.35pt;width:120.55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ygQIAAA8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" stroked="f">
                <v:textbo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v:textbox>
              </v:shape>
            </w:pict>
          </mc:Fallback>
        </mc:AlternateContent>
      </w:r>
      <w:r w:rsidR="00F1071D" w:rsidRPr="00F1071D">
        <w:rPr>
          <w:rFonts w:ascii="Arial" w:hAnsi="Arial" w:cs="Arial"/>
        </w:rPr>
        <w:t>FOR IMMEDIATE RELEASE</w:t>
      </w:r>
    </w:p>
    <w:p w:rsidR="00F1071D" w:rsidRDefault="00F1071D" w:rsidP="00F1071D">
      <w:pPr>
        <w:spacing w:line="240" w:lineRule="auto"/>
        <w:jc w:val="right"/>
        <w:rPr>
          <w:rFonts w:ascii="Arial" w:hAnsi="Arial" w:cs="Arial"/>
          <w:sz w:val="20"/>
          <w:szCs w:val="20"/>
          <w:u w:val="single"/>
        </w:rPr>
      </w:pPr>
    </w:p>
    <w:p w:rsidR="00F1071D" w:rsidRPr="00F1071D" w:rsidRDefault="00F1071D" w:rsidP="007E6D85">
      <w:pPr>
        <w:spacing w:line="240" w:lineRule="auto"/>
        <w:ind w:left="176" w:right="176"/>
        <w:jc w:val="center"/>
        <w:rPr>
          <w:rFonts w:ascii="Arial" w:eastAsia="Calibri" w:hAnsi="Arial" w:cs="Arial"/>
          <w:b/>
          <w:bCs/>
          <w:sz w:val="28"/>
          <w:szCs w:val="28"/>
        </w:rPr>
      </w:pPr>
      <w:r>
        <w:rPr>
          <w:rFonts w:ascii="Arial" w:eastAsia="Calibri" w:hAnsi="Arial" w:cs="Arial"/>
          <w:b/>
          <w:bCs/>
          <w:sz w:val="28"/>
          <w:szCs w:val="28"/>
        </w:rPr>
        <w:t xml:space="preserve">UTi Worldwide </w:t>
      </w:r>
      <w:r w:rsidR="007E6D85">
        <w:rPr>
          <w:rFonts w:ascii="Arial" w:eastAsia="Calibri" w:hAnsi="Arial" w:cs="Arial"/>
          <w:b/>
          <w:bCs/>
          <w:sz w:val="28"/>
          <w:szCs w:val="28"/>
        </w:rPr>
        <w:t>Expands Multi-Client Warehousing in Chicago Area</w:t>
      </w:r>
    </w:p>
    <w:p w:rsidR="00B17DAA" w:rsidRDefault="00A56DDC" w:rsidP="007E6D85">
      <w:pPr>
        <w:spacing w:line="360" w:lineRule="auto"/>
        <w:ind w:firstLine="720"/>
        <w:rPr>
          <w:rFonts w:ascii="Arial" w:hAnsi="Arial" w:cs="Arial"/>
        </w:rPr>
      </w:pPr>
      <w:r>
        <w:rPr>
          <w:rFonts w:ascii="Arial" w:hAnsi="Arial" w:cs="Arial"/>
        </w:rPr>
        <w:t>LONG BEACH, CA</w:t>
      </w:r>
      <w:r w:rsidRPr="00B975A2">
        <w:rPr>
          <w:rFonts w:ascii="Arial" w:hAnsi="Arial" w:cs="Arial"/>
        </w:rPr>
        <w:t>—</w:t>
      </w:r>
      <w:r w:rsidR="00A1608A">
        <w:rPr>
          <w:rFonts w:ascii="Arial" w:hAnsi="Arial" w:cs="Arial"/>
        </w:rPr>
        <w:t>September 26</w:t>
      </w:r>
      <w:bookmarkStart w:id="0" w:name="_GoBack"/>
      <w:bookmarkEnd w:id="0"/>
      <w:r>
        <w:rPr>
          <w:rFonts w:ascii="Arial" w:hAnsi="Arial" w:cs="Arial"/>
        </w:rPr>
        <w:t>, 2013</w:t>
      </w:r>
      <w:r w:rsidRPr="00B975A2">
        <w:rPr>
          <w:rFonts w:ascii="Arial" w:hAnsi="Arial" w:cs="Arial"/>
        </w:rPr>
        <w:t xml:space="preserve">—UTi Worldwide Inc. </w:t>
      </w:r>
      <w:r w:rsidRPr="00B975A2">
        <w:rPr>
          <w:rFonts w:ascii="Arial" w:hAnsi="Arial" w:cs="Arial"/>
          <w:color w:val="333333"/>
        </w:rPr>
        <w:t xml:space="preserve">(Nasdaq: UTIW), </w:t>
      </w:r>
      <w:r w:rsidRPr="00B975A2">
        <w:rPr>
          <w:rFonts w:ascii="Arial" w:hAnsi="Arial" w:cs="Arial"/>
        </w:rPr>
        <w:t>a global supply chain services and solutions company,</w:t>
      </w:r>
      <w:r w:rsidR="00B17DAA">
        <w:rPr>
          <w:rFonts w:ascii="Arial" w:hAnsi="Arial" w:cs="Arial"/>
        </w:rPr>
        <w:t xml:space="preserve"> </w:t>
      </w:r>
      <w:r w:rsidR="007E6D85">
        <w:rPr>
          <w:rFonts w:ascii="Arial" w:hAnsi="Arial" w:cs="Arial"/>
        </w:rPr>
        <w:t>now offers expanded warehousing capabilities for companies requiring warehousing and distribution without the need for</w:t>
      </w:r>
      <w:r w:rsidR="00276E75">
        <w:rPr>
          <w:rFonts w:ascii="Arial" w:hAnsi="Arial" w:cs="Arial"/>
        </w:rPr>
        <w:t xml:space="preserve"> a</w:t>
      </w:r>
      <w:r w:rsidR="007E6D85">
        <w:rPr>
          <w:rFonts w:ascii="Arial" w:hAnsi="Arial" w:cs="Arial"/>
        </w:rPr>
        <w:t xml:space="preserve"> dedicated facility</w:t>
      </w:r>
      <w:r w:rsidR="00276E75">
        <w:rPr>
          <w:rFonts w:ascii="Arial" w:hAnsi="Arial" w:cs="Arial"/>
        </w:rPr>
        <w:t>.</w:t>
      </w:r>
      <w:r w:rsidR="007E6D85">
        <w:rPr>
          <w:rFonts w:ascii="Arial" w:hAnsi="Arial" w:cs="Arial"/>
        </w:rPr>
        <w:t xml:space="preserve"> </w:t>
      </w:r>
    </w:p>
    <w:p w:rsidR="007E6D85" w:rsidRDefault="007E6D85" w:rsidP="00B17DAA">
      <w:pPr>
        <w:spacing w:line="360" w:lineRule="auto"/>
        <w:rPr>
          <w:rFonts w:ascii="Arial" w:hAnsi="Arial" w:cs="Arial"/>
        </w:rPr>
      </w:pPr>
      <w:r>
        <w:rPr>
          <w:rFonts w:ascii="Helvetica" w:eastAsia="Times New Roman" w:hAnsi="Helvetica"/>
        </w:rPr>
        <w:tab/>
        <w:t xml:space="preserve">“Our Chicago area facility offers clients the benefits of a fully functional facility at a fraction of the cost of a dedicated site,” said </w:t>
      </w:r>
      <w:r w:rsidR="00276E75">
        <w:rPr>
          <w:rFonts w:ascii="Arial" w:hAnsi="Arial" w:cs="Arial"/>
        </w:rPr>
        <w:t>Gerald Perritt, UTi senior vice president, contract logistics for the Americas.</w:t>
      </w:r>
    </w:p>
    <w:p w:rsidR="00276E75" w:rsidRPr="00952421" w:rsidRDefault="00276E75" w:rsidP="00B17DAA">
      <w:pPr>
        <w:spacing w:line="360" w:lineRule="auto"/>
        <w:rPr>
          <w:rFonts w:ascii="Arial" w:hAnsi="Arial" w:cs="Arial"/>
        </w:rPr>
      </w:pPr>
      <w:r>
        <w:rPr>
          <w:rFonts w:ascii="Arial" w:hAnsi="Arial" w:cs="Arial"/>
        </w:rPr>
        <w:tab/>
        <w:t xml:space="preserve">“Clients </w:t>
      </w:r>
      <w:r w:rsidR="00952421">
        <w:rPr>
          <w:rFonts w:ascii="Arial" w:hAnsi="Arial" w:cs="Arial"/>
        </w:rPr>
        <w:t xml:space="preserve">can select from a full range of </w:t>
      </w:r>
      <w:r>
        <w:rPr>
          <w:rFonts w:ascii="Arial" w:hAnsi="Arial" w:cs="Arial"/>
        </w:rPr>
        <w:t>options</w:t>
      </w:r>
      <w:r w:rsidR="00384BB2">
        <w:rPr>
          <w:rFonts w:ascii="Arial" w:hAnsi="Arial" w:cs="Arial"/>
        </w:rPr>
        <w:t xml:space="preserve"> </w:t>
      </w:r>
      <w:r>
        <w:rPr>
          <w:rFonts w:ascii="Arial" w:hAnsi="Arial" w:cs="Arial"/>
        </w:rPr>
        <w:t xml:space="preserve">without investing in </w:t>
      </w:r>
      <w:r w:rsidR="00952421">
        <w:rPr>
          <w:rFonts w:ascii="Arial" w:hAnsi="Arial" w:cs="Arial"/>
        </w:rPr>
        <w:t xml:space="preserve">staff, </w:t>
      </w:r>
      <w:r w:rsidR="00384BB2">
        <w:rPr>
          <w:rFonts w:ascii="Arial" w:hAnsi="Arial" w:cs="Arial"/>
        </w:rPr>
        <w:t>equipment,</w:t>
      </w:r>
      <w:r>
        <w:rPr>
          <w:rFonts w:ascii="Arial" w:hAnsi="Arial" w:cs="Arial"/>
        </w:rPr>
        <w:t xml:space="preserve"> or </w:t>
      </w:r>
      <w:r w:rsidR="00384BB2">
        <w:rPr>
          <w:rFonts w:ascii="Arial" w:hAnsi="Arial" w:cs="Arial"/>
        </w:rPr>
        <w:t>systems</w:t>
      </w:r>
      <w:r>
        <w:rPr>
          <w:rFonts w:ascii="Arial" w:hAnsi="Arial" w:cs="Arial"/>
        </w:rPr>
        <w:t xml:space="preserve">,” he </w:t>
      </w:r>
      <w:r w:rsidR="00952421">
        <w:rPr>
          <w:rFonts w:ascii="Arial" w:hAnsi="Arial" w:cs="Arial"/>
        </w:rPr>
        <w:t xml:space="preserve">said, </w:t>
      </w:r>
      <w:r>
        <w:rPr>
          <w:rFonts w:ascii="Arial" w:hAnsi="Arial" w:cs="Arial"/>
        </w:rPr>
        <w:t>“UTi</w:t>
      </w:r>
      <w:r w:rsidR="00952421">
        <w:rPr>
          <w:rFonts w:ascii="Arial" w:hAnsi="Arial" w:cs="Arial"/>
        </w:rPr>
        <w:t xml:space="preserve">’s knowledgeable staff has </w:t>
      </w:r>
      <w:r>
        <w:rPr>
          <w:rFonts w:ascii="Arial" w:hAnsi="Arial" w:cs="Arial"/>
        </w:rPr>
        <w:t>expertise in managing any merchandise from pharmaceuticals to auto parts.”</w:t>
      </w:r>
    </w:p>
    <w:p w:rsidR="007E6D85" w:rsidRDefault="00B0286C" w:rsidP="007E6D85">
      <w:pPr>
        <w:spacing w:line="360" w:lineRule="auto"/>
        <w:ind w:firstLine="720"/>
        <w:rPr>
          <w:rFonts w:ascii="Helvetica" w:eastAsia="Times New Roman" w:hAnsi="Helvetica"/>
        </w:rPr>
      </w:pPr>
      <w:r>
        <w:rPr>
          <w:rFonts w:ascii="Helvetica" w:eastAsia="Times New Roman" w:hAnsi="Helvetica"/>
        </w:rPr>
        <w:t xml:space="preserve">In addition to shipping, receiving, and cross-dock operations, the site offers inventory management, order consolidation, </w:t>
      </w:r>
      <w:r w:rsidR="00952421">
        <w:rPr>
          <w:rFonts w:ascii="Helvetica" w:eastAsia="Times New Roman" w:hAnsi="Helvetica"/>
        </w:rPr>
        <w:t xml:space="preserve">materials handling, </w:t>
      </w:r>
      <w:r>
        <w:rPr>
          <w:rFonts w:ascii="Helvetica" w:eastAsia="Times New Roman" w:hAnsi="Helvetica"/>
        </w:rPr>
        <w:t>reverse logistics, packaging/repackaging and kitting and quality inspection and rework.</w:t>
      </w:r>
      <w:r w:rsidR="00384BB2">
        <w:rPr>
          <w:rFonts w:ascii="Helvetica" w:eastAsia="Times New Roman" w:hAnsi="Helvetica"/>
        </w:rPr>
        <w:t xml:space="preserve"> The facility has 30 dock doors, two drive-in doors and 33 trailer stalls.</w:t>
      </w:r>
    </w:p>
    <w:p w:rsidR="00B0286C" w:rsidRDefault="00B0286C" w:rsidP="007E6D85">
      <w:pPr>
        <w:spacing w:line="360" w:lineRule="auto"/>
        <w:ind w:firstLine="720"/>
        <w:rPr>
          <w:rFonts w:ascii="Helvetica" w:eastAsia="Times New Roman" w:hAnsi="Helvetica"/>
        </w:rPr>
      </w:pPr>
      <w:r>
        <w:rPr>
          <w:rFonts w:ascii="Helvetica" w:eastAsia="Times New Roman" w:hAnsi="Helvetica"/>
        </w:rPr>
        <w:t>The nearly 200,000 sq. ft. facility, located at 800 Bilter Road in Aurora, Illinois,</w:t>
      </w:r>
      <w:r w:rsidRPr="007E6D85">
        <w:rPr>
          <w:rFonts w:ascii="Helvetica" w:eastAsia="Times New Roman" w:hAnsi="Helvetica"/>
        </w:rPr>
        <w:t xml:space="preserve"> </w:t>
      </w:r>
      <w:r>
        <w:rPr>
          <w:rFonts w:ascii="Helvetica" w:eastAsia="Times New Roman" w:hAnsi="Helvetica"/>
        </w:rPr>
        <w:t xml:space="preserve">provides easy access to the I-88 Farnsworth Interchange. </w:t>
      </w:r>
      <w:r w:rsidR="00952421">
        <w:rPr>
          <w:rFonts w:ascii="Helvetica" w:eastAsia="Times New Roman" w:hAnsi="Helvetica"/>
        </w:rPr>
        <w:t xml:space="preserve">With </w:t>
      </w:r>
      <w:r w:rsidR="00384BB2">
        <w:rPr>
          <w:rFonts w:ascii="Helvetica" w:eastAsia="Times New Roman" w:hAnsi="Helvetica"/>
        </w:rPr>
        <w:t xml:space="preserve">a 32-ft. ceiling height, racking and storage space is optimized. </w:t>
      </w:r>
      <w:r>
        <w:rPr>
          <w:rFonts w:ascii="Helvetica" w:eastAsia="Times New Roman" w:hAnsi="Helvetica"/>
        </w:rPr>
        <w:t>The secure facility has 24/7 central station alarm monitoring</w:t>
      </w:r>
      <w:r w:rsidR="00952421">
        <w:rPr>
          <w:rFonts w:ascii="Helvetica" w:eastAsia="Times New Roman" w:hAnsi="Helvetica"/>
        </w:rPr>
        <w:t>, CCTV monitoring</w:t>
      </w:r>
      <w:r>
        <w:rPr>
          <w:rFonts w:ascii="Helvetica" w:eastAsia="Times New Roman" w:hAnsi="Helvetica"/>
        </w:rPr>
        <w:t xml:space="preserve"> and ESFR sprinklers to ensure the integrity of the goods warehoused.</w:t>
      </w:r>
      <w:r w:rsidR="00384BB2">
        <w:rPr>
          <w:rFonts w:ascii="Helvetica" w:eastAsia="Times New Roman" w:hAnsi="Helvetica"/>
        </w:rPr>
        <w:t xml:space="preserve"> A full complement of technology solutions are offered including EDI, barcode scanning and SAP supply chain solutions.</w:t>
      </w:r>
    </w:p>
    <w:p w:rsidR="00F1071D" w:rsidRDefault="00A56DDC" w:rsidP="00A56DDC">
      <w:pPr>
        <w:spacing w:line="240" w:lineRule="auto"/>
        <w:rPr>
          <w:rStyle w:val="google-src-text1"/>
          <w:rFonts w:ascii="Arial" w:hAnsi="Arial" w:cs="Arial"/>
          <w:vanish w:val="0"/>
          <w:color w:val="000000"/>
        </w:rPr>
      </w:pPr>
      <w:r>
        <w:rPr>
          <w:rFonts w:ascii="Helvetica" w:eastAsia="Times New Roman" w:hAnsi="Helvetica"/>
        </w:rPr>
        <w:t>.</w:t>
      </w:r>
    </w:p>
    <w:p w:rsidR="00F1071D" w:rsidRPr="00CE210C" w:rsidRDefault="00F1071D" w:rsidP="00A56DDC">
      <w:pPr>
        <w:spacing w:line="240" w:lineRule="auto"/>
        <w:jc w:val="center"/>
        <w:rPr>
          <w:rFonts w:ascii="Arial" w:hAnsi="Arial" w:cs="Arial"/>
          <w:b/>
        </w:rPr>
      </w:pPr>
      <w:r w:rsidRPr="00CE210C">
        <w:rPr>
          <w:rFonts w:ascii="Arial" w:hAnsi="Arial" w:cs="Arial"/>
          <w:b/>
        </w:rPr>
        <w:t>About UTi Worldwide</w:t>
      </w:r>
    </w:p>
    <w:p w:rsidR="006B50B8" w:rsidRDefault="00F1071D" w:rsidP="00A56DDC">
      <w:pPr>
        <w:spacing w:line="360" w:lineRule="auto"/>
        <w:ind w:firstLine="720"/>
        <w:rPr>
          <w:rFonts w:ascii="Arial" w:hAnsi="Arial" w:cs="Arial"/>
        </w:rPr>
      </w:pPr>
      <w:r w:rsidRPr="00CE210C">
        <w:rPr>
          <w:rFonts w:ascii="Arial" w:hAnsi="Arial" w:cs="Arial"/>
        </w:rPr>
        <w:t>UTi Worldwide Inc. (</w:t>
      </w:r>
      <w:hyperlink r:id="rId9" w:history="1">
        <w:r w:rsidRPr="00CE210C">
          <w:rPr>
            <w:rStyle w:val="Hyperlink"/>
            <w:rFonts w:ascii="Arial" w:hAnsi="Arial" w:cs="Arial"/>
          </w:rPr>
          <w:t>www.go2uti.com</w:t>
        </w:r>
      </w:hyperlink>
      <w:r w:rsidRPr="00CE210C">
        <w:rPr>
          <w:rFonts w:ascii="Arial" w:hAnsi="Arial" w:cs="Arial"/>
        </w:rPr>
        <w:t xml:space="preserve">) is an international, non-asset-based supply chain services and solutions company providing air and ocean freight forwarding, contract logistics, customs brokerage, distribution, inbound logistics, truckload brokerage, and other supply chain management services. The company serves a large and diverse base of global and local companies, including clients operating in industries with unique supply chain requirements such as the retail, apparel, chemical, automotive, pharmaceutical, and technology industries. The </w:t>
      </w:r>
    </w:p>
    <w:p w:rsidR="00F1071D" w:rsidRPr="00A56DDC" w:rsidRDefault="00F1071D" w:rsidP="006B50B8">
      <w:pPr>
        <w:spacing w:line="360" w:lineRule="auto"/>
        <w:rPr>
          <w:rStyle w:val="google-src-text1"/>
          <w:rFonts w:ascii="Arial" w:hAnsi="Arial" w:cs="Arial"/>
          <w:vanish w:val="0"/>
        </w:rPr>
      </w:pPr>
      <w:proofErr w:type="gramStart"/>
      <w:r w:rsidRPr="00CE210C">
        <w:rPr>
          <w:rFonts w:ascii="Arial" w:hAnsi="Arial" w:cs="Arial"/>
        </w:rPr>
        <w:lastRenderedPageBreak/>
        <w:t>company</w:t>
      </w:r>
      <w:proofErr w:type="gramEnd"/>
      <w:r w:rsidRPr="00CE210C">
        <w:rPr>
          <w:rFonts w:ascii="Arial" w:hAnsi="Arial" w:cs="Arial"/>
        </w:rPr>
        <w:t xml:space="preserve"> seeks to use its global network, proprietary information technology systems, and relationships with transportation providers, and expertise in outsourced logistics services to deliver competitive advantage to each of its clients' supply chains. </w:t>
      </w:r>
    </w:p>
    <w:p w:rsidR="00F1071D" w:rsidRPr="00F1071D" w:rsidRDefault="00F1071D" w:rsidP="00F1071D">
      <w:pPr>
        <w:spacing w:after="60" w:line="360" w:lineRule="auto"/>
        <w:jc w:val="center"/>
        <w:rPr>
          <w:rFonts w:ascii="Arial" w:hAnsi="Arial" w:cs="Arial"/>
        </w:rPr>
      </w:pPr>
      <w:r w:rsidRPr="006174DA">
        <w:rPr>
          <w:rStyle w:val="google-src-text1"/>
          <w:rFonts w:ascii="Arial" w:hAnsi="Arial" w:cs="Arial"/>
          <w:color w:val="000000" w:themeColor="text1"/>
          <w:specVanish w:val="0"/>
        </w:rPr>
        <w:t>O Ciesp é uma sociedade civil de direito privado que tem hoje 42 unidades (25 delas com sedes próprias), distribuídas em 35 Diretorias Regionais, duas Municipais e quatro Diretorias Distritais na Capital (zonas Norte, Sul, Leste e Oeste).</w:t>
      </w:r>
      <w:r w:rsidRPr="006174DA">
        <w:rPr>
          <w:rFonts w:ascii="Arial" w:hAnsi="Arial" w:cs="Arial"/>
          <w:color w:val="000000" w:themeColor="text1"/>
        </w:rPr>
        <w:t xml:space="preserve"> </w:t>
      </w:r>
      <w:r w:rsidRPr="00CE210C">
        <w:rPr>
          <w:rFonts w:ascii="Arial" w:hAnsi="Arial" w:cs="Arial"/>
          <w:i/>
        </w:rPr>
        <w:t>###</w:t>
      </w:r>
    </w:p>
    <w:p w:rsidR="00F1071D" w:rsidRDefault="00F1071D" w:rsidP="00F1071D">
      <w:pPr>
        <w:rPr>
          <w:rFonts w:ascii="Arial" w:hAnsi="Arial" w:cs="Arial"/>
        </w:rPr>
      </w:pPr>
      <w:r w:rsidRPr="00D42D23">
        <w:rPr>
          <w:rFonts w:ascii="Arial" w:hAnsi="Arial" w:cs="Arial"/>
          <w:sz w:val="20"/>
          <w:szCs w:val="20"/>
        </w:rPr>
        <w:t>CONTACT:</w:t>
      </w:r>
      <w:r>
        <w:rPr>
          <w:rFonts w:ascii="Arial" w:hAnsi="Arial" w:cs="Arial"/>
          <w:sz w:val="20"/>
          <w:szCs w:val="20"/>
        </w:rPr>
        <w:tab/>
      </w:r>
      <w:r w:rsidRPr="00D42D23">
        <w:rPr>
          <w:rFonts w:ascii="Arial" w:hAnsi="Arial" w:cs="Arial"/>
        </w:rPr>
        <w:t>Investors</w:t>
      </w:r>
    </w:p>
    <w:p w:rsidR="00F1071D" w:rsidRPr="00D42D23" w:rsidRDefault="00F1071D" w:rsidP="00F1071D">
      <w:pPr>
        <w:autoSpaceDE w:val="0"/>
        <w:autoSpaceDN w:val="0"/>
        <w:adjustRightInd w:val="0"/>
        <w:spacing w:line="240" w:lineRule="auto"/>
        <w:ind w:left="1440"/>
        <w:rPr>
          <w:rFonts w:ascii="Arial" w:hAnsi="Arial" w:cs="Arial"/>
        </w:rPr>
      </w:pPr>
      <w:r w:rsidRPr="00D42D23">
        <w:rPr>
          <w:rFonts w:ascii="Arial" w:hAnsi="Arial" w:cs="Arial"/>
        </w:rPr>
        <w:t>Jeff Misakian</w:t>
      </w:r>
    </w:p>
    <w:p w:rsidR="00F1071D" w:rsidRPr="00D42D23" w:rsidRDefault="00F1071D" w:rsidP="00F1071D">
      <w:pPr>
        <w:autoSpaceDE w:val="0"/>
        <w:autoSpaceDN w:val="0"/>
        <w:adjustRightInd w:val="0"/>
        <w:spacing w:line="240" w:lineRule="auto"/>
        <w:ind w:left="1440"/>
        <w:rPr>
          <w:rFonts w:ascii="Arial" w:hAnsi="Arial" w:cs="Arial"/>
        </w:rPr>
      </w:pPr>
      <w:r>
        <w:rPr>
          <w:rFonts w:ascii="Arial" w:hAnsi="Arial" w:cs="Arial"/>
        </w:rPr>
        <w:t xml:space="preserve">Global </w:t>
      </w:r>
      <w:r w:rsidRPr="00D42D23">
        <w:rPr>
          <w:rFonts w:ascii="Arial" w:hAnsi="Arial" w:cs="Arial"/>
        </w:rPr>
        <w:t>Vice President, Investor Relations</w:t>
      </w:r>
    </w:p>
    <w:p w:rsidR="00F1071D" w:rsidRPr="00290BE2" w:rsidRDefault="00F1071D" w:rsidP="00F1071D">
      <w:pPr>
        <w:autoSpaceDE w:val="0"/>
        <w:autoSpaceDN w:val="0"/>
        <w:adjustRightInd w:val="0"/>
        <w:spacing w:line="240" w:lineRule="auto"/>
        <w:ind w:left="1440"/>
        <w:rPr>
          <w:rFonts w:ascii="Arial" w:hAnsi="Arial" w:cs="Arial"/>
          <w:lang w:val="pt-BR"/>
        </w:rPr>
      </w:pPr>
      <w:r w:rsidRPr="00290BE2">
        <w:rPr>
          <w:rFonts w:ascii="Arial" w:hAnsi="Arial" w:cs="Arial"/>
          <w:lang w:val="pt-BR"/>
        </w:rPr>
        <w:t>+1 (562) 552 9417</w:t>
      </w:r>
    </w:p>
    <w:p w:rsidR="00F1071D" w:rsidRDefault="00B66901" w:rsidP="00F1071D">
      <w:pPr>
        <w:spacing w:line="240" w:lineRule="auto"/>
        <w:ind w:left="1440"/>
        <w:rPr>
          <w:rFonts w:ascii="Arial" w:hAnsi="Arial" w:cs="Arial"/>
          <w:lang w:val="pt-BR"/>
        </w:rPr>
      </w:pPr>
      <w:hyperlink r:id="rId10" w:history="1">
        <w:r w:rsidR="00F1071D" w:rsidRPr="008C60EB">
          <w:rPr>
            <w:rStyle w:val="Hyperlink"/>
            <w:rFonts w:ascii="Arial" w:hAnsi="Arial" w:cs="Arial"/>
            <w:lang w:val="pt-BR"/>
          </w:rPr>
          <w:t>jmisakian@go2uti.com</w:t>
        </w:r>
      </w:hyperlink>
    </w:p>
    <w:p w:rsidR="00F1071D" w:rsidRPr="00290BE2" w:rsidRDefault="00F1071D" w:rsidP="00F1071D">
      <w:pPr>
        <w:spacing w:line="240" w:lineRule="auto"/>
        <w:ind w:left="1440"/>
        <w:rPr>
          <w:rFonts w:ascii="Arial" w:hAnsi="Arial" w:cs="Arial"/>
          <w:lang w:val="pt-BR"/>
        </w:rPr>
      </w:pP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Media</w:t>
      </w: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Raquel Garcia</w:t>
      </w:r>
    </w:p>
    <w:p w:rsidR="00F1071D" w:rsidRPr="00D42D23" w:rsidRDefault="00F1071D" w:rsidP="00F1071D">
      <w:pPr>
        <w:spacing w:line="240" w:lineRule="auto"/>
        <w:ind w:left="1440"/>
        <w:rPr>
          <w:rFonts w:ascii="Arial" w:hAnsi="Arial" w:cs="Arial"/>
        </w:rPr>
      </w:pPr>
      <w:r w:rsidRPr="00D42D23">
        <w:rPr>
          <w:rFonts w:ascii="Arial" w:hAnsi="Arial" w:cs="Arial"/>
        </w:rPr>
        <w:t>Global Director, Promotions &amp; Branding</w:t>
      </w:r>
    </w:p>
    <w:p w:rsidR="00F1071D" w:rsidRPr="00D42D23" w:rsidRDefault="00F1071D" w:rsidP="00F1071D">
      <w:pPr>
        <w:spacing w:line="240" w:lineRule="auto"/>
        <w:ind w:left="1440"/>
        <w:rPr>
          <w:rFonts w:ascii="Arial" w:hAnsi="Arial" w:cs="Arial"/>
        </w:rPr>
      </w:pPr>
      <w:r>
        <w:rPr>
          <w:rFonts w:ascii="Arial" w:hAnsi="Arial" w:cs="Arial"/>
        </w:rPr>
        <w:t xml:space="preserve">+1 </w:t>
      </w:r>
      <w:r w:rsidR="00D41B7C">
        <w:rPr>
          <w:rFonts w:ascii="Arial" w:hAnsi="Arial" w:cs="Arial"/>
        </w:rPr>
        <w:t>(562) 552 9412</w:t>
      </w:r>
    </w:p>
    <w:p w:rsidR="00F1071D" w:rsidRDefault="00B66901" w:rsidP="00F1071D">
      <w:pPr>
        <w:spacing w:line="240" w:lineRule="auto"/>
        <w:ind w:left="1440"/>
        <w:rPr>
          <w:rFonts w:ascii="Arial" w:hAnsi="Arial" w:cs="Arial"/>
        </w:rPr>
      </w:pPr>
      <w:hyperlink r:id="rId11" w:history="1">
        <w:r w:rsidR="00F1071D" w:rsidRPr="008C60EB">
          <w:rPr>
            <w:rStyle w:val="Hyperlink"/>
            <w:rFonts w:ascii="Arial" w:hAnsi="Arial" w:cs="Arial"/>
          </w:rPr>
          <w:t>rgarcia1@go2uti.com</w:t>
        </w:r>
      </w:hyperlink>
    </w:p>
    <w:p w:rsidR="00F1071D" w:rsidRPr="00D42D23" w:rsidRDefault="00F1071D" w:rsidP="00F1071D">
      <w:pPr>
        <w:spacing w:line="240" w:lineRule="auto"/>
        <w:ind w:left="1440"/>
        <w:rPr>
          <w:rFonts w:ascii="Arial" w:hAnsi="Arial" w:cs="Arial"/>
          <w:b/>
          <w:bCs/>
        </w:rPr>
      </w:pPr>
    </w:p>
    <w:p w:rsidR="00F1071D" w:rsidRDefault="00F1071D" w:rsidP="00F1071D">
      <w:pPr>
        <w:spacing w:line="240" w:lineRule="auto"/>
        <w:ind w:left="176" w:right="176"/>
        <w:rPr>
          <w:rFonts w:ascii="Arial" w:hAnsi="Arial" w:cs="Arial"/>
        </w:rPr>
      </w:pPr>
    </w:p>
    <w:p w:rsidR="00F1071D" w:rsidRDefault="00F1071D" w:rsidP="00F1071D">
      <w:pPr>
        <w:spacing w:line="240" w:lineRule="auto"/>
        <w:ind w:left="176" w:right="176"/>
        <w:rPr>
          <w:rFonts w:ascii="Arial" w:eastAsia="Calibri" w:hAnsi="Arial" w:cs="Arial"/>
          <w:bCs/>
        </w:rPr>
      </w:pPr>
    </w:p>
    <w:p w:rsidR="00F1071D" w:rsidRPr="00F1071D" w:rsidRDefault="00F1071D" w:rsidP="00F1071D">
      <w:pPr>
        <w:spacing w:line="240" w:lineRule="auto"/>
        <w:ind w:left="176" w:right="176"/>
        <w:rPr>
          <w:rFonts w:ascii="Arial" w:eastAsia="Calibri" w:hAnsi="Arial" w:cs="Arial"/>
          <w:bCs/>
        </w:rPr>
      </w:pPr>
    </w:p>
    <w:p w:rsidR="00F1071D" w:rsidRPr="00F1071D" w:rsidRDefault="00F1071D" w:rsidP="00F1071D">
      <w:pPr>
        <w:pStyle w:val="Header"/>
        <w:rPr>
          <w:rFonts w:ascii="Arial" w:hAnsi="Arial" w:cs="Arial"/>
        </w:rPr>
      </w:pPr>
    </w:p>
    <w:p w:rsidR="00F1071D" w:rsidRPr="00F1071D" w:rsidRDefault="00F1071D" w:rsidP="00F1071D">
      <w:pPr>
        <w:tabs>
          <w:tab w:val="center" w:pos="4680"/>
          <w:tab w:val="right" w:pos="9360"/>
        </w:tabs>
        <w:spacing w:after="0" w:line="240" w:lineRule="auto"/>
        <w:rPr>
          <w:rFonts w:ascii="Times New Roman" w:eastAsia="Calibri" w:hAnsi="Times New Roman" w:cs="Times New Roman"/>
          <w:sz w:val="24"/>
          <w:szCs w:val="24"/>
        </w:rPr>
      </w:pPr>
    </w:p>
    <w:p w:rsidR="006655FB" w:rsidRDefault="006655FB"/>
    <w:sectPr w:rsidR="006655FB" w:rsidSect="006B50B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01" w:rsidRDefault="00B66901" w:rsidP="00F1071D">
      <w:pPr>
        <w:spacing w:after="0" w:line="240" w:lineRule="auto"/>
      </w:pPr>
      <w:r>
        <w:separator/>
      </w:r>
    </w:p>
  </w:endnote>
  <w:endnote w:type="continuationSeparator" w:id="0">
    <w:p w:rsidR="00B66901" w:rsidRDefault="00B66901" w:rsidP="00F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01" w:rsidRDefault="00B66901" w:rsidP="00F1071D">
      <w:pPr>
        <w:spacing w:after="0" w:line="240" w:lineRule="auto"/>
      </w:pPr>
      <w:r>
        <w:separator/>
      </w:r>
    </w:p>
  </w:footnote>
  <w:footnote w:type="continuationSeparator" w:id="0">
    <w:p w:rsidR="00B66901" w:rsidRDefault="00B66901" w:rsidP="00F10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32" w:rsidRPr="00E41E32" w:rsidRDefault="00B0286C" w:rsidP="00E41E32">
    <w:pPr>
      <w:pStyle w:val="Header"/>
      <w:jc w:val="right"/>
      <w:rPr>
        <w:rFonts w:ascii="Arial" w:hAnsi="Arial" w:cs="Arial"/>
      </w:rPr>
    </w:pPr>
    <w:r>
      <w:rPr>
        <w:rFonts w:ascii="Arial" w:hAnsi="Arial" w:cs="Arial"/>
      </w:rPr>
      <w:t>UTi Expands Chicago Warehousing Capabilities</w:t>
    </w:r>
  </w:p>
  <w:p w:rsidR="00F1071D" w:rsidRPr="002B79AF" w:rsidRDefault="00F1071D" w:rsidP="002B79AF">
    <w:pPr>
      <w:pStyle w:val="Header"/>
      <w:jc w:val="right"/>
      <w:rPr>
        <w:rFonts w:ascii="Arial" w:hAnsi="Arial" w:cs="Arial"/>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1D"/>
    <w:rsid w:val="00087849"/>
    <w:rsid w:val="001A651E"/>
    <w:rsid w:val="00216318"/>
    <w:rsid w:val="00276E75"/>
    <w:rsid w:val="002B79AF"/>
    <w:rsid w:val="00337AE0"/>
    <w:rsid w:val="00345CB6"/>
    <w:rsid w:val="003713DF"/>
    <w:rsid w:val="00384BB2"/>
    <w:rsid w:val="00404FBE"/>
    <w:rsid w:val="004553EF"/>
    <w:rsid w:val="00532C9C"/>
    <w:rsid w:val="006655FB"/>
    <w:rsid w:val="006B50B8"/>
    <w:rsid w:val="006D1E2B"/>
    <w:rsid w:val="00793CE8"/>
    <w:rsid w:val="007B4DD2"/>
    <w:rsid w:val="007D5D0F"/>
    <w:rsid w:val="007E6D85"/>
    <w:rsid w:val="007F4D2A"/>
    <w:rsid w:val="00952421"/>
    <w:rsid w:val="00967B12"/>
    <w:rsid w:val="00A1608A"/>
    <w:rsid w:val="00A56DDC"/>
    <w:rsid w:val="00B0286C"/>
    <w:rsid w:val="00B17DAA"/>
    <w:rsid w:val="00B66901"/>
    <w:rsid w:val="00CE13BA"/>
    <w:rsid w:val="00D41B7C"/>
    <w:rsid w:val="00E41E32"/>
    <w:rsid w:val="00F1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arcia1@go2uti.com" TargetMode="External"/><Relationship Id="rId5" Type="http://schemas.openxmlformats.org/officeDocument/2006/relationships/webSettings" Target="webSettings.xml"/><Relationship Id="rId10" Type="http://schemas.openxmlformats.org/officeDocument/2006/relationships/hyperlink" Target="mailto:jmisakian@go2uti.com" TargetMode="External"/><Relationship Id="rId4" Type="http://schemas.openxmlformats.org/officeDocument/2006/relationships/settings" Target="settings.xml"/><Relationship Id="rId9" Type="http://schemas.openxmlformats.org/officeDocument/2006/relationships/hyperlink" Target="http://www.go2u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99F0-9DE1-439E-91C8-A2A87C79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6</cp:revision>
  <dcterms:created xsi:type="dcterms:W3CDTF">2013-06-26T20:33:00Z</dcterms:created>
  <dcterms:modified xsi:type="dcterms:W3CDTF">2013-09-25T22:04:00Z</dcterms:modified>
</cp:coreProperties>
</file>