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D7" w:rsidRPr="008E3864" w:rsidRDefault="00C50E58" w:rsidP="00072CC2">
      <w:pPr>
        <w:jc w:val="center"/>
        <w:rPr>
          <w:b/>
        </w:rPr>
      </w:pPr>
      <w:r>
        <w:rPr>
          <w:b/>
        </w:rPr>
        <w:t xml:space="preserve">Online Pharmacies May Help Many </w:t>
      </w:r>
      <w:r w:rsidR="00D52832">
        <w:rPr>
          <w:b/>
        </w:rPr>
        <w:t xml:space="preserve">Afford Prescription Medication </w:t>
      </w:r>
      <w:r>
        <w:rPr>
          <w:b/>
        </w:rPr>
        <w:t>Under Obamacare</w:t>
      </w:r>
    </w:p>
    <w:p w:rsidR="00CA6627" w:rsidRDefault="00CA6627" w:rsidP="00CA6627">
      <w:r>
        <w:t xml:space="preserve">White Plains, NY, September </w:t>
      </w:r>
      <w:r w:rsidR="00C50E58">
        <w:t>30, 2013 --</w:t>
      </w:r>
      <w:r>
        <w:t xml:space="preserve"> Millions of Americans will continue to find U.S. drug prices out of reach under Obamacare </w:t>
      </w:r>
      <w:r w:rsidRPr="0069597F">
        <w:t xml:space="preserve">because many </w:t>
      </w:r>
      <w:r w:rsidR="0082500C">
        <w:t xml:space="preserve">insurance </w:t>
      </w:r>
      <w:r w:rsidRPr="0069597F">
        <w:t xml:space="preserve">plans </w:t>
      </w:r>
      <w:r w:rsidR="00750D98">
        <w:t>do</w:t>
      </w:r>
      <w:r w:rsidRPr="0069597F">
        <w:t xml:space="preserve"> not </w:t>
      </w:r>
      <w:r w:rsidR="00C50E58">
        <w:t xml:space="preserve">adequately </w:t>
      </w:r>
      <w:r w:rsidRPr="0069597F">
        <w:t xml:space="preserve">cover </w:t>
      </w:r>
      <w:r w:rsidR="00C50E58">
        <w:t xml:space="preserve">the cost of </w:t>
      </w:r>
      <w:r w:rsidRPr="0069597F">
        <w:t>prescribed medication</w:t>
      </w:r>
      <w:r w:rsidR="0082500C">
        <w:t>s</w:t>
      </w:r>
      <w:r w:rsidRPr="0069597F">
        <w:t>.</w:t>
      </w:r>
      <w:r>
        <w:t xml:space="preserve"> A new </w:t>
      </w:r>
      <w:r w:rsidR="00072CC2">
        <w:t xml:space="preserve">analysis of drug prices by </w:t>
      </w:r>
      <w:hyperlink r:id="rId8" w:history="1">
        <w:r w:rsidR="00072CC2" w:rsidRPr="00072CC2">
          <w:rPr>
            <w:rStyle w:val="Hyperlink"/>
            <w:sz w:val="22"/>
            <w:szCs w:val="22"/>
            <w:bdr w:val="none" w:sz="0" w:space="0" w:color="auto"/>
          </w:rPr>
          <w:t>PharmacyChecker.com</w:t>
        </w:r>
      </w:hyperlink>
      <w:r w:rsidR="00072CC2">
        <w:t xml:space="preserve"> </w:t>
      </w:r>
      <w:r w:rsidR="00750D98">
        <w:t xml:space="preserve">provides some </w:t>
      </w:r>
      <w:r>
        <w:t xml:space="preserve">hope: </w:t>
      </w:r>
      <w:r w:rsidR="008E3864">
        <w:t xml:space="preserve">Americans paying out-of-pocket </w:t>
      </w:r>
      <w:r>
        <w:t xml:space="preserve">for </w:t>
      </w:r>
      <w:r w:rsidR="00072CC2">
        <w:t xml:space="preserve">brand name </w:t>
      </w:r>
      <w:r>
        <w:t xml:space="preserve">medication </w:t>
      </w:r>
      <w:r w:rsidR="008E3864">
        <w:t xml:space="preserve">can save 87% by shopping online from verified international online pharmacies, </w:t>
      </w:r>
      <w:r>
        <w:t>such as those</w:t>
      </w:r>
      <w:r w:rsidR="008E3864">
        <w:t xml:space="preserve"> based in Canada. </w:t>
      </w:r>
    </w:p>
    <w:p w:rsidR="0069597F" w:rsidRDefault="00CF7D3C">
      <w:pPr>
        <w:rPr>
          <w:rFonts w:cs="Arial"/>
        </w:rPr>
      </w:pPr>
      <w:r w:rsidRPr="0069597F">
        <w:t xml:space="preserve">According to the Commonwealth Fund, </w:t>
      </w:r>
      <w:r w:rsidR="0069597F">
        <w:rPr>
          <w:rFonts w:cs="Arial"/>
        </w:rPr>
        <w:t>t</w:t>
      </w:r>
      <w:r w:rsidRPr="0069597F">
        <w:rPr>
          <w:rFonts w:cs="Arial"/>
        </w:rPr>
        <w:t xml:space="preserve">wenty-one percent of </w:t>
      </w:r>
      <w:r w:rsidRPr="0069597F">
        <w:rPr>
          <w:rStyle w:val="Emphasis"/>
          <w:rFonts w:cs="Arial"/>
          <w:sz w:val="22"/>
          <w:szCs w:val="22"/>
        </w:rPr>
        <w:t>insured</w:t>
      </w:r>
      <w:r w:rsidRPr="0069597F">
        <w:rPr>
          <w:rFonts w:cs="Arial"/>
        </w:rPr>
        <w:t xml:space="preserve"> Americans did not fill a pr</w:t>
      </w:r>
      <w:r w:rsidR="0069597F">
        <w:rPr>
          <w:rFonts w:cs="Arial"/>
        </w:rPr>
        <w:t>escription due to cost in 2012</w:t>
      </w:r>
      <w:r w:rsidR="00CA6627">
        <w:rPr>
          <w:rFonts w:cs="Arial"/>
        </w:rPr>
        <w:t>.</w:t>
      </w:r>
      <w:r w:rsidR="0012481D">
        <w:rPr>
          <w:rStyle w:val="EndnoteReference"/>
          <w:rFonts w:cs="Arial"/>
        </w:rPr>
        <w:endnoteReference w:id="1"/>
      </w:r>
      <w:r w:rsidR="00CA6627">
        <w:rPr>
          <w:rFonts w:cs="Arial"/>
        </w:rPr>
        <w:t xml:space="preserve"> Tod Cooperman, M.D., president of PharmacyChecker.com cautions</w:t>
      </w:r>
      <w:r w:rsidR="00C50E58">
        <w:rPr>
          <w:rFonts w:cs="Arial"/>
        </w:rPr>
        <w:t>,</w:t>
      </w:r>
      <w:r w:rsidR="00CA6627">
        <w:rPr>
          <w:rFonts w:cs="Arial"/>
        </w:rPr>
        <w:t xml:space="preserve"> “</w:t>
      </w:r>
      <w:r w:rsidR="00C50E58">
        <w:rPr>
          <w:rFonts w:cs="Arial"/>
        </w:rPr>
        <w:t xml:space="preserve">As </w:t>
      </w:r>
      <w:r w:rsidR="00CA6627">
        <w:rPr>
          <w:rFonts w:cs="Arial"/>
        </w:rPr>
        <w:t>more Americans access health care under the new programs</w:t>
      </w:r>
      <w:r w:rsidR="00072CC2">
        <w:rPr>
          <w:rFonts w:cs="Arial"/>
        </w:rPr>
        <w:t>,</w:t>
      </w:r>
      <w:r w:rsidR="00CA6627">
        <w:rPr>
          <w:rFonts w:cs="Arial"/>
        </w:rPr>
        <w:t xml:space="preserve"> more prescriptions will be generated</w:t>
      </w:r>
      <w:r w:rsidR="00072CC2">
        <w:rPr>
          <w:rFonts w:cs="Arial"/>
        </w:rPr>
        <w:t xml:space="preserve"> and</w:t>
      </w:r>
      <w:r w:rsidR="00CA6627">
        <w:rPr>
          <w:rFonts w:cs="Arial"/>
        </w:rPr>
        <w:t xml:space="preserve"> the amount of unfilled prescriptions may </w:t>
      </w:r>
      <w:r w:rsidR="00072CC2">
        <w:rPr>
          <w:rFonts w:cs="Arial"/>
        </w:rPr>
        <w:t xml:space="preserve">further </w:t>
      </w:r>
      <w:r w:rsidR="00CA6627">
        <w:rPr>
          <w:rFonts w:cs="Arial"/>
        </w:rPr>
        <w:t>increase as people find the brand name drugs unaffordable</w:t>
      </w:r>
      <w:r w:rsidR="00C50E58">
        <w:rPr>
          <w:rFonts w:cs="Arial"/>
        </w:rPr>
        <w:t xml:space="preserve"> in the U.S</w:t>
      </w:r>
      <w:r w:rsidR="00CA6627">
        <w:rPr>
          <w:rFonts w:cs="Arial"/>
        </w:rPr>
        <w:t>.</w:t>
      </w:r>
      <w:r w:rsidR="003F0518">
        <w:rPr>
          <w:rFonts w:cs="Arial"/>
        </w:rPr>
        <w:t>”</w:t>
      </w:r>
      <w:r w:rsidR="0069597F">
        <w:rPr>
          <w:rFonts w:cs="Arial"/>
        </w:rPr>
        <w:t xml:space="preserve"> </w:t>
      </w:r>
    </w:p>
    <w:p w:rsidR="00072CC2" w:rsidRDefault="00C50E58">
      <w:pPr>
        <w:rPr>
          <w:rFonts w:cs="Arial"/>
        </w:rPr>
      </w:pPr>
      <w:r>
        <w:rPr>
          <w:rFonts w:cs="Arial"/>
        </w:rPr>
        <w:t xml:space="preserve">For </w:t>
      </w:r>
      <w:r w:rsidR="00072CC2">
        <w:rPr>
          <w:rFonts w:cs="Arial"/>
        </w:rPr>
        <w:t xml:space="preserve">just a single common </w:t>
      </w:r>
      <w:r>
        <w:rPr>
          <w:rFonts w:cs="Arial"/>
        </w:rPr>
        <w:t xml:space="preserve">medication the savings </w:t>
      </w:r>
      <w:r w:rsidR="00072CC2">
        <w:rPr>
          <w:rFonts w:cs="Arial"/>
        </w:rPr>
        <w:t xml:space="preserve">available online </w:t>
      </w:r>
      <w:r>
        <w:rPr>
          <w:rFonts w:cs="Arial"/>
        </w:rPr>
        <w:t xml:space="preserve">can be </w:t>
      </w:r>
      <w:r w:rsidR="00072CC2">
        <w:rPr>
          <w:rFonts w:cs="Arial"/>
        </w:rPr>
        <w:t>thousands</w:t>
      </w:r>
      <w:r w:rsidR="00312AA5">
        <w:rPr>
          <w:rFonts w:cs="Arial"/>
        </w:rPr>
        <w:t xml:space="preserve"> </w:t>
      </w:r>
      <w:r w:rsidR="00072CC2">
        <w:rPr>
          <w:rFonts w:cs="Arial"/>
        </w:rPr>
        <w:t xml:space="preserve">of </w:t>
      </w:r>
      <w:r>
        <w:rPr>
          <w:rFonts w:cs="Arial"/>
        </w:rPr>
        <w:t xml:space="preserve">dollars per year. An example is the popular anti-depression </w:t>
      </w:r>
      <w:r w:rsidR="00312AA5">
        <w:rPr>
          <w:rFonts w:cs="Arial"/>
        </w:rPr>
        <w:t xml:space="preserve">drug </w:t>
      </w:r>
      <w:r>
        <w:rPr>
          <w:rFonts w:cs="Arial"/>
        </w:rPr>
        <w:t>Abilify (aripiprazole)</w:t>
      </w:r>
      <w:r w:rsidR="00072CC2">
        <w:rPr>
          <w:rFonts w:cs="Arial"/>
        </w:rPr>
        <w:t xml:space="preserve">.  </w:t>
      </w:r>
      <w:r>
        <w:rPr>
          <w:rFonts w:cs="Arial"/>
        </w:rPr>
        <w:t xml:space="preserve">A three-month </w:t>
      </w:r>
      <w:r w:rsidR="00072CC2">
        <w:rPr>
          <w:rFonts w:cs="Arial"/>
        </w:rPr>
        <w:t xml:space="preserve">supply of Abilify (10 mg) </w:t>
      </w:r>
      <w:r>
        <w:rPr>
          <w:rFonts w:cs="Arial"/>
        </w:rPr>
        <w:t xml:space="preserve">costs $2,582.97 at a local New York pharmacy, </w:t>
      </w:r>
      <w:r w:rsidR="00072CC2">
        <w:rPr>
          <w:rFonts w:cs="Arial"/>
        </w:rPr>
        <w:t xml:space="preserve">but is available for as little as </w:t>
      </w:r>
      <w:r>
        <w:rPr>
          <w:rFonts w:cs="Arial"/>
        </w:rPr>
        <w:t xml:space="preserve">$331.20 from </w:t>
      </w:r>
      <w:r w:rsidR="00312AA5">
        <w:rPr>
          <w:rFonts w:cs="Arial"/>
        </w:rPr>
        <w:t xml:space="preserve">a </w:t>
      </w:r>
      <w:r>
        <w:rPr>
          <w:rFonts w:cs="Arial"/>
        </w:rPr>
        <w:t>legitimate online pharmac</w:t>
      </w:r>
      <w:r w:rsidR="00312AA5">
        <w:rPr>
          <w:rFonts w:cs="Arial"/>
        </w:rPr>
        <w:t>y</w:t>
      </w:r>
      <w:r>
        <w:rPr>
          <w:rFonts w:cs="Arial"/>
        </w:rPr>
        <w:t xml:space="preserve"> outside the U.S. </w:t>
      </w:r>
      <w:r w:rsidR="00312AA5">
        <w:rPr>
          <w:rFonts w:cs="Arial"/>
        </w:rPr>
        <w:t xml:space="preserve">that </w:t>
      </w:r>
      <w:r>
        <w:rPr>
          <w:rFonts w:cs="Arial"/>
        </w:rPr>
        <w:t>sell</w:t>
      </w:r>
      <w:r w:rsidR="00312AA5">
        <w:rPr>
          <w:rFonts w:cs="Arial"/>
        </w:rPr>
        <w:t>s</w:t>
      </w:r>
      <w:r>
        <w:rPr>
          <w:rFonts w:cs="Arial"/>
        </w:rPr>
        <w:t xml:space="preserve"> to Americans. </w:t>
      </w:r>
    </w:p>
    <w:p w:rsidR="0057245A" w:rsidRPr="0057245A" w:rsidRDefault="00072CC2">
      <w:pPr>
        <w:rPr>
          <w:b/>
        </w:rPr>
      </w:pPr>
      <w:r>
        <w:rPr>
          <w:b/>
        </w:rPr>
        <w:t>P</w:t>
      </w:r>
      <w:r w:rsidR="0057245A">
        <w:rPr>
          <w:b/>
        </w:rPr>
        <w:t>rice</w:t>
      </w:r>
      <w:r w:rsidR="00DE3665">
        <w:rPr>
          <w:b/>
        </w:rPr>
        <w:t xml:space="preserve">s for </w:t>
      </w:r>
      <w:r>
        <w:rPr>
          <w:b/>
        </w:rPr>
        <w:t xml:space="preserve">a </w:t>
      </w:r>
      <w:r w:rsidR="00DE3665">
        <w:rPr>
          <w:b/>
        </w:rPr>
        <w:t xml:space="preserve">3-month supply of </w:t>
      </w:r>
      <w:r w:rsidR="0057245A">
        <w:rPr>
          <w:b/>
        </w:rPr>
        <w:t>top-selling brand name medication</w:t>
      </w:r>
      <w:r w:rsidR="00DE3665">
        <w:rPr>
          <w:b/>
        </w:rPr>
        <w:t>s*</w:t>
      </w:r>
    </w:p>
    <w:tbl>
      <w:tblPr>
        <w:tblW w:w="80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122"/>
        <w:gridCol w:w="1414"/>
        <w:gridCol w:w="1414"/>
        <w:gridCol w:w="1778"/>
      </w:tblGrid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Drug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750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Local Pharmacy Price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750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International Online Pharmacy Price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750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International Online Savings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6A2D6B" w:rsidP="00750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A2D6B"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Annual</w:t>
            </w:r>
            <w:r w:rsidR="0057245A"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Savings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Abilify 10 mg</w:t>
            </w:r>
            <w:r w:rsidR="008C2FC8" w:rsidRPr="00D52832">
              <w:rPr>
                <w:rFonts w:ascii="Calibri" w:eastAsia="Times New Roman" w:hAnsi="Calibri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$2,582.97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$331.20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87.18%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$9,007.08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Advair Diskus 250-50 mcg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$1,061.97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$108.00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89.83%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$3,815.88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Celebrex 200 mg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$692.97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$104.00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84.99%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$2,355.88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Crestor 20 mg</w:t>
            </w:r>
            <w:r w:rsidR="008C2FC8" w:rsidRPr="00D52832">
              <w:rPr>
                <w:rFonts w:ascii="Calibri" w:eastAsia="Times New Roman" w:hAnsi="Calibri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$713.97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$74.00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89.64%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$2,559.88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D52832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Cymbalta 60 mg</w:t>
            </w:r>
            <w:r w:rsidR="008C2FC8">
              <w:rPr>
                <w:rFonts w:ascii="Calibri" w:eastAsia="Times New Roman" w:hAnsi="Calibri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$878.97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$90.00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89.76%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$3,155.88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D52832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Diovan 160 mg</w:t>
            </w:r>
            <w:r w:rsidR="008C2FC8">
              <w:rPr>
                <w:rFonts w:ascii="Calibri" w:eastAsia="Times New Roman" w:hAnsi="Calibri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$475.99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$62.10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86.95%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$1,655.56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D52832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Januvia 100 mg</w:t>
            </w:r>
            <w:r w:rsidR="008C2FC8">
              <w:rPr>
                <w:rFonts w:ascii="Calibri" w:eastAsia="Times New Roman" w:hAnsi="Calibri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$1,026.00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$131.40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87.19%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$3,578.40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AD3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Namenda  10 mg</w:t>
            </w:r>
            <w:r w:rsidR="000F3FC5">
              <w:rPr>
                <w:rFonts w:ascii="Calibri" w:eastAsia="Times New Roman" w:hAnsi="Calibri" w:cs="Times New Roman"/>
                <w:color w:val="000000"/>
                <w:vertAlign w:val="superscript"/>
              </w:rPr>
              <w:t>++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$1,049.97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$210.60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79.94%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$3,357.48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D52832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Nexium 40 mg</w:t>
            </w:r>
            <w:r w:rsidR="00611A11">
              <w:rPr>
                <w:rFonts w:ascii="Calibri" w:eastAsia="Times New Roman" w:hAnsi="Calibri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$878.97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$67.50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92.32%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$3,245.88</w:t>
            </w:r>
          </w:p>
        </w:tc>
      </w:tr>
      <w:tr w:rsidR="0057245A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Spiriva Handihaler 18 mcg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$1,115.97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$132.15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88.16%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7245A" w:rsidRPr="0057245A" w:rsidRDefault="0057245A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color w:val="000000"/>
              </w:rPr>
              <w:t>$3,935.28</w:t>
            </w:r>
          </w:p>
        </w:tc>
      </w:tr>
      <w:tr w:rsidR="00750D98" w:rsidRPr="0057245A" w:rsidTr="00750D98">
        <w:trPr>
          <w:trHeight w:val="30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750D98" w:rsidRPr="0057245A" w:rsidRDefault="00750D98" w:rsidP="005724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verage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750D98" w:rsidRPr="0057245A" w:rsidRDefault="00750D98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$1,047.78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750D98" w:rsidRPr="0057245A" w:rsidRDefault="00750D98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$131.10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750D98" w:rsidRPr="0057245A" w:rsidRDefault="00750D98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87.60%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750D98" w:rsidRPr="0057245A" w:rsidRDefault="00750D98" w:rsidP="0057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7245A">
              <w:rPr>
                <w:rFonts w:ascii="Calibri" w:eastAsia="Times New Roman" w:hAnsi="Calibri" w:cs="Times New Roman"/>
                <w:b/>
                <w:bCs/>
                <w:color w:val="000000"/>
              </w:rPr>
              <w:t>$3,666.72</w:t>
            </w:r>
          </w:p>
        </w:tc>
      </w:tr>
    </w:tbl>
    <w:p w:rsidR="0057245A" w:rsidRPr="00611A11" w:rsidRDefault="00DE3665">
      <w:r>
        <w:t>*</w:t>
      </w:r>
      <w:r w:rsidR="00072CC2">
        <w:t>S</w:t>
      </w:r>
      <w:r>
        <w:t>ource</w:t>
      </w:r>
      <w:r w:rsidR="00072CC2">
        <w:t>s</w:t>
      </w:r>
      <w:r>
        <w:t>:</w:t>
      </w:r>
      <w:r w:rsidRPr="00DE3665">
        <w:t xml:space="preserve"> </w:t>
      </w:r>
      <w:r w:rsidR="006A2D6B" w:rsidRPr="006A2D6B">
        <w:t>Local pharmacy</w:t>
      </w:r>
      <w:r w:rsidR="00072CC2">
        <w:t xml:space="preserve"> --</w:t>
      </w:r>
      <w:r w:rsidR="006A2D6B" w:rsidRPr="006A2D6B">
        <w:t xml:space="preserve"> Rite Aid in New York City</w:t>
      </w:r>
      <w:r w:rsidR="00072CC2">
        <w:t>;</w:t>
      </w:r>
      <w:r>
        <w:t xml:space="preserve"> </w:t>
      </w:r>
      <w:r w:rsidR="006A2D6B" w:rsidRPr="006A2D6B">
        <w:t>International online pharmac</w:t>
      </w:r>
      <w:r>
        <w:t xml:space="preserve">ies </w:t>
      </w:r>
      <w:r w:rsidR="00072CC2">
        <w:t>– l</w:t>
      </w:r>
      <w:r w:rsidR="006A2D6B" w:rsidRPr="006A2D6B">
        <w:t xml:space="preserve">owest prices </w:t>
      </w:r>
      <w:r>
        <w:t xml:space="preserve">found on </w:t>
      </w:r>
      <w:hyperlink r:id="rId9" w:history="1">
        <w:r w:rsidR="00072CC2" w:rsidRPr="008345A9">
          <w:rPr>
            <w:rStyle w:val="Hyperlink"/>
            <w:sz w:val="22"/>
            <w:szCs w:val="22"/>
            <w:bdr w:val="none" w:sz="0" w:space="0" w:color="auto"/>
          </w:rPr>
          <w:t>www.PharmacyChecker.com</w:t>
        </w:r>
      </w:hyperlink>
      <w:r w:rsidR="00072CC2">
        <w:t xml:space="preserve"> </w:t>
      </w:r>
      <w:r>
        <w:t xml:space="preserve">from </w:t>
      </w:r>
      <w:r w:rsidR="00072CC2">
        <w:t>v</w:t>
      </w:r>
      <w:r>
        <w:t xml:space="preserve">erified </w:t>
      </w:r>
      <w:r w:rsidR="006A2D6B" w:rsidRPr="006A2D6B">
        <w:t>website</w:t>
      </w:r>
      <w:r>
        <w:t>s</w:t>
      </w:r>
      <w:r w:rsidR="006A2D6B" w:rsidRPr="006A2D6B">
        <w:t>.</w:t>
      </w:r>
      <w:r w:rsidR="00611A11">
        <w:t xml:space="preserve"> </w:t>
      </w:r>
      <w:r w:rsidR="00611A11">
        <w:rPr>
          <w:vertAlign w:val="superscript"/>
        </w:rPr>
        <w:t xml:space="preserve">+ </w:t>
      </w:r>
      <w:r w:rsidR="00611A11">
        <w:t>pr</w:t>
      </w:r>
      <w:r w:rsidR="000F3FC5">
        <w:t xml:space="preserve">ice calculated from 84 pills. </w:t>
      </w:r>
      <w:r w:rsidR="000F3FC5">
        <w:rPr>
          <w:vertAlign w:val="superscript"/>
        </w:rPr>
        <w:t>++</w:t>
      </w:r>
      <w:r w:rsidR="00611A11">
        <w:t>price calculated from 100 pills.</w:t>
      </w:r>
    </w:p>
    <w:p w:rsidR="00C50E58" w:rsidRDefault="00072CC2" w:rsidP="00C50E58">
      <w:r>
        <w:rPr>
          <w:rFonts w:cs="Arial"/>
        </w:rPr>
        <w:t>PharmacyChecker.com found that</w:t>
      </w:r>
      <w:r w:rsidR="00C50E58">
        <w:rPr>
          <w:rFonts w:cs="Arial"/>
        </w:rPr>
        <w:t xml:space="preserve"> the potential savings from online pharmacies increased from 85% </w:t>
      </w:r>
      <w:r w:rsidR="00750D98">
        <w:rPr>
          <w:rFonts w:cs="Arial"/>
        </w:rPr>
        <w:t xml:space="preserve">last year to the current </w:t>
      </w:r>
      <w:r w:rsidR="00C50E58">
        <w:rPr>
          <w:rFonts w:cs="Arial"/>
        </w:rPr>
        <w:t>87%</w:t>
      </w:r>
      <w:r w:rsidR="00750D98">
        <w:rPr>
          <w:rFonts w:cs="Arial"/>
        </w:rPr>
        <w:t>. This is due to the fact that brand</w:t>
      </w:r>
      <w:r w:rsidR="00C50E58">
        <w:rPr>
          <w:rFonts w:cs="Arial"/>
        </w:rPr>
        <w:t xml:space="preserve"> name drug prices generally increased in the U.S. while staying the same or decreasing in other countries due to price controls.</w:t>
      </w:r>
    </w:p>
    <w:p w:rsidR="0086658E" w:rsidRDefault="0086658E">
      <w:r>
        <w:lastRenderedPageBreak/>
        <w:t xml:space="preserve">Americans who </w:t>
      </w:r>
      <w:r w:rsidR="008E3864">
        <w:t>buy</w:t>
      </w:r>
      <w:r>
        <w:t xml:space="preserve"> medication</w:t>
      </w:r>
      <w:r w:rsidR="008E3864">
        <w:t xml:space="preserve"> online from international pharmacies</w:t>
      </w:r>
      <w:r>
        <w:t xml:space="preserve"> for </w:t>
      </w:r>
      <w:r w:rsidR="008E3864">
        <w:t xml:space="preserve">their own use </w:t>
      </w:r>
      <w:r w:rsidR="00DE3665">
        <w:t>have not been prosecuted</w:t>
      </w:r>
      <w:r w:rsidR="00C50E58">
        <w:t xml:space="preserve"> by the government</w:t>
      </w:r>
      <w:r w:rsidR="008E3864">
        <w:t>, despite federal prohibitions that make most such purchases illegal.</w:t>
      </w:r>
      <w:r>
        <w:t xml:space="preserve"> </w:t>
      </w:r>
      <w:r w:rsidR="008E3864">
        <w:t xml:space="preserve">The </w:t>
      </w:r>
      <w:r>
        <w:t xml:space="preserve">FDA </w:t>
      </w:r>
      <w:r w:rsidR="008E3864">
        <w:t xml:space="preserve">is not responsible for </w:t>
      </w:r>
      <w:r>
        <w:t>pharmaceuticals</w:t>
      </w:r>
      <w:r w:rsidR="008E3864">
        <w:t xml:space="preserve"> sold outside the U.S.</w:t>
      </w:r>
      <w:r w:rsidR="00AD315C">
        <w:t>,</w:t>
      </w:r>
      <w:r>
        <w:t xml:space="preserve"> but other drug and pharmacy regulatory authorities</w:t>
      </w:r>
      <w:r w:rsidR="008E3864">
        <w:t>, such as Canada</w:t>
      </w:r>
      <w:r w:rsidR="0082500C">
        <w:t>’s Therapeutic Products Directorate</w:t>
      </w:r>
      <w:r w:rsidR="008E3864">
        <w:t>,</w:t>
      </w:r>
      <w:r>
        <w:t xml:space="preserve"> protect their drug supplies. The products analyzed for this study are manufactured </w:t>
      </w:r>
      <w:r w:rsidR="00C50E58">
        <w:t xml:space="preserve">or distributed </w:t>
      </w:r>
      <w:r>
        <w:t xml:space="preserve">by global drug companies based in the </w:t>
      </w:r>
      <w:r w:rsidR="00F7348C">
        <w:t xml:space="preserve">European Union, Japan, or the </w:t>
      </w:r>
      <w:r w:rsidR="00AD315C">
        <w:t>U.S.,</w:t>
      </w:r>
      <w:r w:rsidR="00C50E58">
        <w:t xml:space="preserve"> which </w:t>
      </w:r>
      <w:r w:rsidR="001540BD">
        <w:t xml:space="preserve">typically </w:t>
      </w:r>
      <w:r w:rsidR="00C50E58">
        <w:t xml:space="preserve">sell medications </w:t>
      </w:r>
      <w:r w:rsidR="00AD315C">
        <w:t xml:space="preserve">for </w:t>
      </w:r>
      <w:r w:rsidR="00C50E58">
        <w:t>lower prices</w:t>
      </w:r>
      <w:r w:rsidR="00AD315C">
        <w:t xml:space="preserve"> in countries</w:t>
      </w:r>
      <w:r w:rsidR="00C50E58">
        <w:t xml:space="preserve"> outside</w:t>
      </w:r>
      <w:r w:rsidR="00AD315C">
        <w:t xml:space="preserve"> </w:t>
      </w:r>
      <w:r w:rsidR="00C50E58">
        <w:t>the U.S.</w:t>
      </w:r>
    </w:p>
    <w:p w:rsidR="004948CA" w:rsidRDefault="00DE158D" w:rsidP="004948CA">
      <w:hyperlink r:id="rId10" w:history="1">
        <w:r w:rsidR="004948CA" w:rsidRPr="00750D98">
          <w:rPr>
            <w:rStyle w:val="Hyperlink"/>
            <w:sz w:val="20"/>
            <w:szCs w:val="20"/>
          </w:rPr>
          <w:t>PharmacyChecker.com</w:t>
        </w:r>
      </w:hyperlink>
      <w:r w:rsidR="004948CA" w:rsidRPr="00750D98">
        <w:rPr>
          <w:sz w:val="20"/>
          <w:szCs w:val="20"/>
        </w:rPr>
        <w:t xml:space="preserve"> </w:t>
      </w:r>
      <w:r w:rsidR="00DE3665" w:rsidRPr="00750D98">
        <w:rPr>
          <w:sz w:val="20"/>
          <w:szCs w:val="20"/>
        </w:rPr>
        <w:t xml:space="preserve">was </w:t>
      </w:r>
      <w:r w:rsidR="009E0FC9" w:rsidRPr="00750D98">
        <w:rPr>
          <w:sz w:val="20"/>
          <w:szCs w:val="20"/>
        </w:rPr>
        <w:t xml:space="preserve">founded by </w:t>
      </w:r>
      <w:r w:rsidR="00DE3665" w:rsidRPr="00750D98">
        <w:rPr>
          <w:sz w:val="20"/>
          <w:szCs w:val="20"/>
        </w:rPr>
        <w:t>Tod Cooperman, M.D. in 2002</w:t>
      </w:r>
      <w:r w:rsidR="00750D98" w:rsidRPr="00750D98">
        <w:rPr>
          <w:sz w:val="20"/>
          <w:szCs w:val="20"/>
        </w:rPr>
        <w:t xml:space="preserve"> to </w:t>
      </w:r>
      <w:r w:rsidR="004948CA" w:rsidRPr="00750D98">
        <w:rPr>
          <w:sz w:val="20"/>
          <w:szCs w:val="20"/>
        </w:rPr>
        <w:t>help consumers safely save money on medication by identifying the l</w:t>
      </w:r>
      <w:r w:rsidR="004948CA">
        <w:t xml:space="preserve">owest drug prices from reputable online pharmacies. </w:t>
      </w:r>
      <w:r w:rsidR="00DE3665">
        <w:t xml:space="preserve"> PharmacyChecker.com</w:t>
      </w:r>
      <w:r w:rsidR="004948CA">
        <w:t xml:space="preserve"> independently checks the credentials of online pharmacies and pharmacy discount cards </w:t>
      </w:r>
      <w:r w:rsidR="00750D98">
        <w:t xml:space="preserve">and </w:t>
      </w:r>
      <w:r w:rsidR="004948CA">
        <w:t>provid</w:t>
      </w:r>
      <w:r w:rsidR="00750D98">
        <w:t>es</w:t>
      </w:r>
      <w:r w:rsidR="004948CA">
        <w:t xml:space="preserve"> </w:t>
      </w:r>
      <w:r w:rsidR="00750D98">
        <w:t xml:space="preserve">free and </w:t>
      </w:r>
      <w:r w:rsidR="004948CA">
        <w:t xml:space="preserve">easy </w:t>
      </w:r>
      <w:r w:rsidR="00750D98">
        <w:t xml:space="preserve">online </w:t>
      </w:r>
      <w:r w:rsidR="004948CA">
        <w:t>comparisons of drug prices.</w:t>
      </w:r>
    </w:p>
    <w:p w:rsidR="00044216" w:rsidRDefault="009E0FC9">
      <w:r>
        <w:t xml:space="preserve">For more information, contact </w:t>
      </w:r>
      <w:r w:rsidR="00DE3665">
        <w:t xml:space="preserve">Gabriel Levitt, </w:t>
      </w:r>
      <w:r>
        <w:t xml:space="preserve">Vice President, </w:t>
      </w:r>
      <w:r w:rsidR="00DE3665">
        <w:t>PharmacyChecker.com</w:t>
      </w:r>
      <w:r>
        <w:t xml:space="preserve"> at 718-387-4526 or </w:t>
      </w:r>
      <w:hyperlink r:id="rId11" w:history="1">
        <w:r w:rsidRPr="001E37F3">
          <w:rPr>
            <w:rStyle w:val="Hyperlink"/>
            <w:sz w:val="22"/>
            <w:szCs w:val="22"/>
            <w:bdr w:val="none" w:sz="0" w:space="0" w:color="auto"/>
          </w:rPr>
          <w:t>gabriel.levitt@pharmacychecker.com</w:t>
        </w:r>
      </w:hyperlink>
      <w:r>
        <w:t xml:space="preserve">. </w:t>
      </w:r>
    </w:p>
    <w:sectPr w:rsidR="00044216" w:rsidSect="006C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8D" w:rsidRDefault="00DE158D" w:rsidP="0012481D">
      <w:pPr>
        <w:spacing w:after="0" w:line="240" w:lineRule="auto"/>
      </w:pPr>
      <w:r>
        <w:separator/>
      </w:r>
    </w:p>
  </w:endnote>
  <w:endnote w:type="continuationSeparator" w:id="0">
    <w:p w:rsidR="00DE158D" w:rsidRDefault="00DE158D" w:rsidP="0012481D">
      <w:pPr>
        <w:spacing w:after="0" w:line="240" w:lineRule="auto"/>
      </w:pPr>
      <w:r>
        <w:continuationSeparator/>
      </w:r>
    </w:p>
  </w:endnote>
  <w:endnote w:id="1">
    <w:p w:rsidR="0012481D" w:rsidRDefault="0012481D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 w:rsidRPr="00D51446">
        <w:t>The Commonwealth Fund.</w:t>
      </w:r>
      <w:proofErr w:type="gramEnd"/>
      <w:r w:rsidRPr="00D51446">
        <w:t xml:space="preserve"> </w:t>
      </w:r>
      <w:proofErr w:type="gramStart"/>
      <w:r w:rsidRPr="00D51446">
        <w:rPr>
          <w:i/>
        </w:rPr>
        <w:t>2012 Commonwealth Fund Biennial Health Insurance Survey</w:t>
      </w:r>
      <w:r w:rsidRPr="00D51446">
        <w:t>.</w:t>
      </w:r>
      <w:proofErr w:type="gramEnd"/>
      <w:r w:rsidRPr="00D51446">
        <w:rPr>
          <w:i/>
        </w:rPr>
        <w:t xml:space="preserve"> </w:t>
      </w:r>
      <w:r w:rsidRPr="00D51446">
        <w:t xml:space="preserve">April 2013. </w:t>
      </w:r>
      <w:proofErr w:type="gramStart"/>
      <w:r>
        <w:t>Page 28.</w:t>
      </w:r>
      <w:proofErr w:type="gramEnd"/>
      <w:r>
        <w:t xml:space="preserve"> </w:t>
      </w:r>
      <w:r w:rsidRPr="003E2A96">
        <w:t>http://www.commonwealthfund.org/~/media/Files/Publications/Fund%20Report/2013/Apr/1681_Collins_insuring_future_biennial_survey_2012_FINAL.pdf</w:t>
      </w:r>
      <w:r>
        <w:t xml:space="preserve">. </w:t>
      </w:r>
      <w:r w:rsidRPr="00D51446">
        <w:t>Accessed 8/22/2013</w:t>
      </w:r>
      <w:r>
        <w:t>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8D" w:rsidRDefault="00DE158D" w:rsidP="0012481D">
      <w:pPr>
        <w:spacing w:after="0" w:line="240" w:lineRule="auto"/>
      </w:pPr>
      <w:r>
        <w:separator/>
      </w:r>
    </w:p>
  </w:footnote>
  <w:footnote w:type="continuationSeparator" w:id="0">
    <w:p w:rsidR="00DE158D" w:rsidRDefault="00DE158D" w:rsidP="00124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23"/>
    <w:rsid w:val="00044216"/>
    <w:rsid w:val="00072CC2"/>
    <w:rsid w:val="0008230E"/>
    <w:rsid w:val="000F3FC5"/>
    <w:rsid w:val="000F637E"/>
    <w:rsid w:val="0012481D"/>
    <w:rsid w:val="001540BD"/>
    <w:rsid w:val="00312AA5"/>
    <w:rsid w:val="003F0518"/>
    <w:rsid w:val="004948CA"/>
    <w:rsid w:val="0057245A"/>
    <w:rsid w:val="00583823"/>
    <w:rsid w:val="00611A11"/>
    <w:rsid w:val="0069597F"/>
    <w:rsid w:val="006A2D6B"/>
    <w:rsid w:val="006C2A6B"/>
    <w:rsid w:val="00717AB9"/>
    <w:rsid w:val="00750D98"/>
    <w:rsid w:val="0082500C"/>
    <w:rsid w:val="0086658E"/>
    <w:rsid w:val="008C2FC8"/>
    <w:rsid w:val="008E3864"/>
    <w:rsid w:val="009E0FC9"/>
    <w:rsid w:val="00AD315C"/>
    <w:rsid w:val="00C50E58"/>
    <w:rsid w:val="00C92721"/>
    <w:rsid w:val="00CA6627"/>
    <w:rsid w:val="00CF7D3C"/>
    <w:rsid w:val="00D52832"/>
    <w:rsid w:val="00DE158D"/>
    <w:rsid w:val="00DE3665"/>
    <w:rsid w:val="00DE56B8"/>
    <w:rsid w:val="00F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D3C"/>
    <w:rPr>
      <w:strike w:val="0"/>
      <w:dstrike w:val="0"/>
      <w:color w:val="004276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styleId="Emphasis">
    <w:name w:val="Emphasis"/>
    <w:basedOn w:val="DefaultParagraphFont"/>
    <w:uiPriority w:val="20"/>
    <w:qFormat/>
    <w:rsid w:val="00CF7D3C"/>
    <w:rPr>
      <w:i/>
      <w:iCs/>
      <w:sz w:val="24"/>
      <w:szCs w:val="24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315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248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8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48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D3C"/>
    <w:rPr>
      <w:strike w:val="0"/>
      <w:dstrike w:val="0"/>
      <w:color w:val="004276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styleId="Emphasis">
    <w:name w:val="Emphasis"/>
    <w:basedOn w:val="DefaultParagraphFont"/>
    <w:uiPriority w:val="20"/>
    <w:qFormat/>
    <w:rsid w:val="00CF7D3C"/>
    <w:rPr>
      <w:i/>
      <w:iCs/>
      <w:sz w:val="24"/>
      <w:szCs w:val="24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315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248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8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4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cycheck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.levitt@pharmacycheck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harmacycheck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acyChec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DC1E-20A9-4D8D-ABF1-BA528531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glevitt</dc:creator>
  <cp:lastModifiedBy>glevitt</cp:lastModifiedBy>
  <cp:revision>4</cp:revision>
  <dcterms:created xsi:type="dcterms:W3CDTF">2013-09-30T10:52:00Z</dcterms:created>
  <dcterms:modified xsi:type="dcterms:W3CDTF">2013-09-30T11:02:00Z</dcterms:modified>
</cp:coreProperties>
</file>