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left w:w="0" w:type="dxa"/>
          <w:right w:w="0" w:type="dxa"/>
        </w:tblCellMar>
        <w:tblLook w:val="04A0" w:firstRow="1" w:lastRow="0" w:firstColumn="1" w:lastColumn="0" w:noHBand="0" w:noVBand="1"/>
      </w:tblPr>
      <w:tblGrid>
        <w:gridCol w:w="9360"/>
      </w:tblGrid>
      <w:tr w:rsidR="00D9022B" w:rsidRPr="00D9022B" w:rsidTr="00D9022B">
        <w:trPr>
          <w:trHeight w:val="2355"/>
          <w:tblCellSpacing w:w="0" w:type="dxa"/>
        </w:trPr>
        <w:tc>
          <w:tcPr>
            <w:tcW w:w="9000" w:type="dxa"/>
            <w:vAlign w:val="center"/>
            <w:hideMark/>
          </w:tcPr>
          <w:tbl>
            <w:tblPr>
              <w:tblW w:w="5000" w:type="pct"/>
              <w:tblCellMar>
                <w:left w:w="0" w:type="dxa"/>
                <w:right w:w="0" w:type="dxa"/>
              </w:tblCellMar>
              <w:tblLook w:val="04A0" w:firstRow="1" w:lastRow="0" w:firstColumn="1" w:lastColumn="0" w:noHBand="0" w:noVBand="1"/>
            </w:tblPr>
            <w:tblGrid>
              <w:gridCol w:w="1699"/>
              <w:gridCol w:w="5962"/>
              <w:gridCol w:w="1699"/>
            </w:tblGrid>
            <w:tr w:rsidR="00D9022B" w:rsidRPr="00D9022B">
              <w:tc>
                <w:tcPr>
                  <w:tcW w:w="1650" w:type="pct"/>
                  <w:tcBorders>
                    <w:top w:val="nil"/>
                    <w:left w:val="nil"/>
                    <w:bottom w:val="nil"/>
                    <w:right w:val="nil"/>
                  </w:tcBorders>
                  <w:hideMark/>
                </w:tcPr>
                <w:p w:rsidR="00D9022B" w:rsidRPr="00D9022B" w:rsidRDefault="00D9022B" w:rsidP="00D9022B">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1085850" cy="1419225"/>
                        <wp:effectExtent l="0" t="0" r="0" b="9525"/>
                        <wp:docPr id="15" name="Picture 15" descr="http://www.endothelix.com/eblast/oct-17-2013/images/jacksmy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dothelix.com/eblast/oct-17-2013/images/jacksmyt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419225"/>
                                </a:xfrm>
                                <a:prstGeom prst="rect">
                                  <a:avLst/>
                                </a:prstGeom>
                                <a:noFill/>
                                <a:ln>
                                  <a:noFill/>
                                </a:ln>
                              </pic:spPr>
                            </pic:pic>
                          </a:graphicData>
                        </a:graphic>
                      </wp:inline>
                    </w:drawing>
                  </w:r>
                </w:p>
              </w:tc>
              <w:tc>
                <w:tcPr>
                  <w:tcW w:w="1650" w:type="pct"/>
                  <w:tcBorders>
                    <w:top w:val="nil"/>
                    <w:left w:val="nil"/>
                    <w:bottom w:val="nil"/>
                    <w:right w:val="nil"/>
                  </w:tcBorders>
                  <w:hideMark/>
                </w:tcPr>
                <w:p w:rsidR="00D9022B" w:rsidRPr="00D9022B" w:rsidRDefault="00D9022B" w:rsidP="00D9022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00" cy="714375"/>
                        <wp:effectExtent l="0" t="0" r="0" b="9525"/>
                        <wp:docPr id="14" name="Picture 14" descr="http://www.endothelix.com/eblast/oct-17-2013/images/company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dothelix.com/eblast/oct-17-2013/images/companylogo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14375"/>
                                </a:xfrm>
                                <a:prstGeom prst="rect">
                                  <a:avLst/>
                                </a:prstGeom>
                                <a:noFill/>
                                <a:ln>
                                  <a:noFill/>
                                </a:ln>
                              </pic:spPr>
                            </pic:pic>
                          </a:graphicData>
                        </a:graphic>
                      </wp:inline>
                    </w:drawing>
                  </w:r>
                </w:p>
                <w:p w:rsidR="00D9022B" w:rsidRPr="00D9022B" w:rsidRDefault="00D9022B" w:rsidP="00D9022B">
                  <w:pPr>
                    <w:spacing w:after="0" w:line="240" w:lineRule="auto"/>
                    <w:jc w:val="center"/>
                    <w:rPr>
                      <w:rFonts w:ascii="Times New Roman" w:eastAsia="Times New Roman" w:hAnsi="Times New Roman" w:cs="Times New Roman"/>
                      <w:sz w:val="24"/>
                      <w:szCs w:val="24"/>
                    </w:rPr>
                  </w:pPr>
                  <w:r w:rsidRPr="00D9022B">
                    <w:rPr>
                      <w:rFonts w:ascii="Tahoma" w:eastAsia="Times New Roman" w:hAnsi="Tahoma" w:cs="Tahoma"/>
                      <w:b/>
                      <w:bCs/>
                      <w:sz w:val="24"/>
                      <w:szCs w:val="24"/>
                    </w:rPr>
                    <w:t>Ischemic Conditioning,  Endothelial Function</w:t>
                  </w:r>
                </w:p>
                <w:p w:rsidR="00D9022B" w:rsidRPr="00D9022B" w:rsidRDefault="00D9022B" w:rsidP="00D9022B">
                  <w:pPr>
                    <w:spacing w:after="0" w:line="240" w:lineRule="auto"/>
                    <w:jc w:val="center"/>
                    <w:rPr>
                      <w:rFonts w:ascii="Times New Roman" w:eastAsia="Times New Roman" w:hAnsi="Times New Roman" w:cs="Times New Roman"/>
                      <w:sz w:val="24"/>
                      <w:szCs w:val="24"/>
                    </w:rPr>
                  </w:pPr>
                  <w:r w:rsidRPr="00D9022B">
                    <w:rPr>
                      <w:rFonts w:ascii="Tahoma" w:eastAsia="Times New Roman" w:hAnsi="Tahoma" w:cs="Tahoma"/>
                      <w:b/>
                      <w:bCs/>
                      <w:sz w:val="24"/>
                      <w:szCs w:val="24"/>
                    </w:rPr>
                    <w:t>and Enhanced External Counterpulsation:</w:t>
                  </w:r>
                </w:p>
                <w:p w:rsidR="00D9022B" w:rsidRPr="00D9022B" w:rsidRDefault="00D9022B" w:rsidP="00D9022B">
                  <w:pPr>
                    <w:spacing w:after="0" w:line="240" w:lineRule="auto"/>
                    <w:jc w:val="center"/>
                    <w:rPr>
                      <w:rFonts w:ascii="Times New Roman" w:eastAsia="Times New Roman" w:hAnsi="Times New Roman" w:cs="Times New Roman"/>
                      <w:sz w:val="24"/>
                      <w:szCs w:val="24"/>
                    </w:rPr>
                  </w:pPr>
                  <w:r w:rsidRPr="00D9022B">
                    <w:rPr>
                      <w:rFonts w:ascii="Tahoma" w:eastAsia="Times New Roman" w:hAnsi="Tahoma" w:cs="Tahoma"/>
                      <w:b/>
                      <w:bCs/>
                      <w:sz w:val="20"/>
                      <w:szCs w:val="20"/>
                    </w:rPr>
                    <w:t>From Research Studies to Patient Care</w:t>
                  </w:r>
                  <w:r w:rsidRPr="00D9022B">
                    <w:rPr>
                      <w:rFonts w:ascii="Times New Roman" w:eastAsia="Times New Roman" w:hAnsi="Times New Roman" w:cs="Times New Roman"/>
                      <w:sz w:val="24"/>
                      <w:szCs w:val="24"/>
                    </w:rPr>
                    <w:t xml:space="preserve"> </w:t>
                  </w:r>
                </w:p>
                <w:p w:rsidR="00D9022B" w:rsidRPr="00D9022B" w:rsidRDefault="00D9022B" w:rsidP="00D9022B">
                  <w:pPr>
                    <w:spacing w:before="100" w:beforeAutospacing="1" w:after="100" w:afterAutospacing="1" w:line="240" w:lineRule="auto"/>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1700" w:type="pct"/>
                  <w:tcBorders>
                    <w:top w:val="nil"/>
                    <w:left w:val="nil"/>
                    <w:bottom w:val="nil"/>
                    <w:right w:val="nil"/>
                  </w:tcBorders>
                  <w:hideMark/>
                </w:tcPr>
                <w:p w:rsidR="00D9022B" w:rsidRPr="00D9022B" w:rsidRDefault="00D9022B" w:rsidP="00D9022B">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85850" cy="1419225"/>
                        <wp:effectExtent l="0" t="0" r="0" b="9525"/>
                        <wp:docPr id="13" name="Picture 13" descr="http://www.endothelix.com/eblast/oct-17-2013/images/jun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dothelix.com/eblast/oct-17-2013/images/jun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419225"/>
                                </a:xfrm>
                                <a:prstGeom prst="rect">
                                  <a:avLst/>
                                </a:prstGeom>
                                <a:noFill/>
                                <a:ln>
                                  <a:noFill/>
                                </a:ln>
                              </pic:spPr>
                            </pic:pic>
                          </a:graphicData>
                        </a:graphic>
                      </wp:inline>
                    </w:drawing>
                  </w:r>
                </w:p>
              </w:tc>
            </w:tr>
          </w:tbl>
          <w:p w:rsidR="00D9022B" w:rsidRPr="00D9022B" w:rsidRDefault="00D9022B" w:rsidP="00D9022B">
            <w:pPr>
              <w:spacing w:after="0" w:line="240" w:lineRule="auto"/>
              <w:rPr>
                <w:rFonts w:ascii="Times New Roman" w:eastAsia="Times New Roman" w:hAnsi="Times New Roman" w:cs="Times New Roman"/>
                <w:sz w:val="24"/>
                <w:szCs w:val="24"/>
              </w:rPr>
            </w:pPr>
          </w:p>
        </w:tc>
      </w:tr>
      <w:tr w:rsidR="00D9022B" w:rsidRPr="00D9022B" w:rsidTr="00D9022B">
        <w:trPr>
          <w:trHeight w:val="9645"/>
          <w:tblCellSpacing w:w="0" w:type="dxa"/>
        </w:trPr>
        <w:tc>
          <w:tcPr>
            <w:tcW w:w="9000" w:type="dxa"/>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Dear Colleague:</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 xml:space="preserve">On behalf of Endothelix, Inc., Vasomedical, Inc., and Ischemic Conditioning Therapeutics, Inc., we would like to invite you to participate in an invitation-only Scientific Focus Group Meeting held in connection with the 2013 American Heart Association Scientific Sessions in Dallas next month.  The meeting will discuss state of the art science and technology related to Endothelial Dysfunction, Enhanced External Counterpulsation (EECP), Ischemic Conditioning, and their potential interactions. </w:t>
            </w:r>
            <w:r w:rsidRPr="00D9022B">
              <w:rPr>
                <w:rFonts w:ascii="Times New Roman" w:eastAsia="Times New Roman" w:hAnsi="Times New Roman" w:cs="Times New Roman"/>
                <w:sz w:val="20"/>
                <w:szCs w:val="20"/>
              </w:rPr>
              <w:br/>
            </w:r>
            <w:r w:rsidRPr="00D9022B">
              <w:rPr>
                <w:rFonts w:ascii="Times New Roman" w:eastAsia="Times New Roman" w:hAnsi="Times New Roman" w:cs="Times New Roman"/>
                <w:sz w:val="20"/>
                <w:szCs w:val="20"/>
              </w:rPr>
              <w:br/>
            </w:r>
            <w:r w:rsidRPr="00D9022B">
              <w:rPr>
                <w:rFonts w:ascii="Tahoma" w:eastAsia="Times New Roman" w:hAnsi="Tahoma" w:cs="Tahoma"/>
                <w:sz w:val="20"/>
                <w:szCs w:val="20"/>
              </w:rPr>
              <w:t xml:space="preserve">The meeting will take place on Sunday, November 17 from 7:00 pm to 9:00 pm at the Aloft Hotel Downtown Dallas.  </w:t>
            </w:r>
            <w:r w:rsidRPr="00D9022B">
              <w:rPr>
                <w:rFonts w:ascii="Tahoma" w:eastAsia="Times New Roman" w:hAnsi="Tahoma" w:cs="Tahoma"/>
                <w:sz w:val="20"/>
                <w:szCs w:val="20"/>
                <w:u w:val="single"/>
              </w:rPr>
              <w:t>Dinner will be served</w:t>
            </w:r>
            <w:r w:rsidRPr="00D9022B">
              <w:rPr>
                <w:rFonts w:ascii="Tahoma" w:eastAsia="Times New Roman" w:hAnsi="Tahoma" w:cs="Tahoma"/>
                <w:sz w:val="20"/>
                <w:szCs w:val="20"/>
              </w:rPr>
              <w:t>.</w:t>
            </w:r>
            <w:r w:rsidRPr="00D9022B">
              <w:rPr>
                <w:rFonts w:ascii="Times New Roman" w:eastAsia="Times New Roman" w:hAnsi="Times New Roman" w:cs="Times New Roman"/>
                <w:sz w:val="20"/>
                <w:szCs w:val="20"/>
              </w:rPr>
              <w:t xml:space="preserve"> </w:t>
            </w:r>
            <w:r w:rsidRPr="00D9022B">
              <w:rPr>
                <w:rFonts w:ascii="Times New Roman" w:eastAsia="Times New Roman" w:hAnsi="Times New Roman" w:cs="Times New Roman"/>
                <w:sz w:val="20"/>
                <w:szCs w:val="20"/>
              </w:rPr>
              <w:br/>
            </w:r>
            <w:r w:rsidRPr="00D9022B">
              <w:rPr>
                <w:rFonts w:ascii="Tahoma" w:eastAsia="Times New Roman" w:hAnsi="Tahoma" w:cs="Tahoma"/>
                <w:sz w:val="20"/>
                <w:szCs w:val="20"/>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We have an unprecedented lineup of presenters including:</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2714"/>
              <w:gridCol w:w="6646"/>
            </w:tblGrid>
            <w:tr w:rsidR="00D9022B" w:rsidRPr="00D9022B">
              <w:tc>
                <w:tcPr>
                  <w:tcW w:w="1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Dr. Todd Anderson</w:t>
                  </w:r>
                  <w:r w:rsidRPr="00D9022B">
                    <w:rPr>
                      <w:rFonts w:ascii="Tahoma" w:eastAsia="Times New Roman" w:hAnsi="Tahoma" w:cs="Tahoma"/>
                      <w:sz w:val="20"/>
                      <w:szCs w:val="20"/>
                    </w:rPr>
                    <w:br/>
                    <w:t>Dr. Gregory Barsness</w:t>
                  </w:r>
                  <w:r w:rsidRPr="00D9022B">
                    <w:rPr>
                      <w:rFonts w:ascii="Tahoma" w:eastAsia="Times New Roman" w:hAnsi="Tahoma" w:cs="Tahoma"/>
                      <w:sz w:val="20"/>
                      <w:szCs w:val="20"/>
                    </w:rPr>
                    <w:br/>
                    <w:t>Dr. Robert Kloner</w:t>
                  </w:r>
                  <w:r w:rsidRPr="00D9022B">
                    <w:rPr>
                      <w:rFonts w:ascii="Tahoma" w:eastAsia="Times New Roman" w:hAnsi="Tahoma" w:cs="Tahoma"/>
                      <w:sz w:val="20"/>
                      <w:szCs w:val="20"/>
                    </w:rPr>
                    <w:br/>
                    <w:t>Dr. Morteza Naghavi</w:t>
                  </w:r>
                  <w:r w:rsidRPr="00D9022B">
                    <w:rPr>
                      <w:rFonts w:ascii="Tahoma" w:eastAsia="Times New Roman" w:hAnsi="Tahoma" w:cs="Tahoma"/>
                      <w:sz w:val="20"/>
                      <w:szCs w:val="20"/>
                    </w:rPr>
                    <w:br/>
                    <w:t>Dr. Karin Przyklenk</w:t>
                  </w:r>
                </w:p>
              </w:tc>
              <w:tc>
                <w:tcPr>
                  <w:tcW w:w="35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Dr. Arshed Quyyumi</w:t>
                  </w:r>
                  <w:r w:rsidRPr="00D9022B">
                    <w:rPr>
                      <w:rFonts w:ascii="Tahoma" w:eastAsia="Times New Roman" w:hAnsi="Tahoma" w:cs="Tahoma"/>
                      <w:sz w:val="20"/>
                      <w:szCs w:val="20"/>
                    </w:rPr>
                    <w:br/>
                    <w:t>Dr. Ozlem Soran</w:t>
                  </w:r>
                  <w:r w:rsidRPr="00D9022B">
                    <w:rPr>
                      <w:rFonts w:ascii="Tahoma" w:eastAsia="Times New Roman" w:hAnsi="Tahoma" w:cs="Tahoma"/>
                      <w:sz w:val="20"/>
                      <w:szCs w:val="20"/>
                    </w:rPr>
                    <w:br/>
                    <w:t>Dr. Hirofumi Tanaka</w:t>
                  </w:r>
                  <w:r w:rsidRPr="00D9022B">
                    <w:rPr>
                      <w:rFonts w:ascii="Tahoma" w:eastAsia="Times New Roman" w:hAnsi="Tahoma" w:cs="Tahoma"/>
                      <w:sz w:val="20"/>
                      <w:szCs w:val="20"/>
                    </w:rPr>
                    <w:br/>
                    <w:t>Dr. Christopher Wilcox</w:t>
                  </w:r>
                </w:p>
              </w:tc>
            </w:tr>
          </w:tbl>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 xml:space="preserve">If you accept the invitation, please </w:t>
            </w:r>
            <w:r w:rsidRPr="00D9022B">
              <w:rPr>
                <w:rFonts w:ascii="Tahoma" w:eastAsia="Times New Roman" w:hAnsi="Tahoma" w:cs="Tahoma"/>
                <w:sz w:val="20"/>
                <w:szCs w:val="20"/>
                <w:u w:val="single"/>
              </w:rPr>
              <w:t>s</w:t>
            </w:r>
            <w:r w:rsidRPr="00D9022B">
              <w:rPr>
                <w:rFonts w:ascii="Tahoma" w:eastAsia="Times New Roman" w:hAnsi="Tahoma" w:cs="Tahoma"/>
                <w:color w:val="000000"/>
                <w:sz w:val="20"/>
                <w:szCs w:val="20"/>
                <w:u w:val="single"/>
                <w:shd w:val="clear" w:color="auto" w:fill="FFFFFF"/>
              </w:rPr>
              <w:t>imply reply with "RSVP"</w:t>
            </w:r>
            <w:r w:rsidRPr="00D9022B">
              <w:rPr>
                <w:rFonts w:ascii="Tahoma" w:eastAsia="Times New Roman" w:hAnsi="Tahoma" w:cs="Tahoma"/>
                <w:color w:val="000000"/>
                <w:sz w:val="20"/>
                <w:szCs w:val="20"/>
                <w:shd w:val="clear" w:color="auto" w:fill="FFFFFF"/>
              </w:rPr>
              <w:t xml:space="preserve"> or see below to register and we will confirm accordingly.</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br/>
              <w:t xml:space="preserve">We look forward to your participation in this scientific event. </w:t>
            </w:r>
            <w:r w:rsidRPr="00D9022B">
              <w:rPr>
                <w:rFonts w:ascii="Tahoma" w:eastAsia="Times New Roman" w:hAnsi="Tahoma" w:cs="Tahoma"/>
                <w:sz w:val="20"/>
                <w:szCs w:val="20"/>
              </w:rPr>
              <w:br/>
            </w:r>
            <w:r w:rsidRPr="00D9022B">
              <w:rPr>
                <w:rFonts w:ascii="Tahoma" w:eastAsia="Times New Roman" w:hAnsi="Tahoma" w:cs="Tahoma"/>
                <w:sz w:val="20"/>
                <w:szCs w:val="20"/>
              </w:rPr>
              <w:br/>
              <w:t>Sincere regards,</w:t>
            </w:r>
          </w:p>
          <w:tbl>
            <w:tblPr>
              <w:tblW w:w="5000" w:type="pct"/>
              <w:tblCellMar>
                <w:left w:w="0" w:type="dxa"/>
                <w:right w:w="0" w:type="dxa"/>
              </w:tblCellMar>
              <w:tblLook w:val="04A0" w:firstRow="1" w:lastRow="0" w:firstColumn="1" w:lastColumn="0" w:noHBand="0" w:noVBand="1"/>
            </w:tblPr>
            <w:tblGrid>
              <w:gridCol w:w="3276"/>
              <w:gridCol w:w="6084"/>
            </w:tblGrid>
            <w:tr w:rsidR="00D9022B" w:rsidRPr="00D9022B">
              <w:tc>
                <w:tcPr>
                  <w:tcW w:w="17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95425" cy="666750"/>
                        <wp:effectExtent l="0" t="0" r="9525" b="0"/>
                        <wp:docPr id="12" name="Picture 12" descr="http://www.endothelix.com/eblast/oct-17-2013/images/jacksmyth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dothelix.com/eblast/oct-17-2013/images/jacksmyth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66750"/>
                                </a:xfrm>
                                <a:prstGeom prst="rect">
                                  <a:avLst/>
                                </a:prstGeom>
                                <a:noFill/>
                                <a:ln>
                                  <a:noFill/>
                                </a:ln>
                              </pic:spPr>
                            </pic:pic>
                          </a:graphicData>
                        </a:graphic>
                      </wp:inline>
                    </w:drawing>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Jack Smyth</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Chief Executive Officer</w:t>
                  </w:r>
                </w:p>
                <w:p w:rsidR="00D9022B" w:rsidRPr="00D9022B" w:rsidRDefault="00041CA2" w:rsidP="00D9022B">
                  <w:pPr>
                    <w:spacing w:after="0" w:line="240" w:lineRule="auto"/>
                    <w:ind w:left="75" w:right="75"/>
                    <w:rPr>
                      <w:rFonts w:ascii="Times New Roman" w:eastAsia="Times New Roman" w:hAnsi="Times New Roman" w:cs="Times New Roman"/>
                      <w:sz w:val="24"/>
                      <w:szCs w:val="24"/>
                    </w:rPr>
                  </w:pPr>
                  <w:hyperlink r:id="rId9" w:tgtFrame="_blank" w:history="1">
                    <w:r w:rsidR="00D9022B" w:rsidRPr="00D9022B">
                      <w:rPr>
                        <w:rFonts w:ascii="Tahoma" w:eastAsia="Times New Roman" w:hAnsi="Tahoma" w:cs="Tahoma"/>
                        <w:color w:val="0000FF"/>
                        <w:sz w:val="20"/>
                        <w:szCs w:val="20"/>
                        <w:u w:val="single"/>
                      </w:rPr>
                      <w:t>Endothelix, Inc.</w:t>
                    </w:r>
                  </w:hyperlink>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250" w:type="pct"/>
                  <w:tcBorders>
                    <w:top w:val="nil"/>
                    <w:left w:val="nil"/>
                    <w:bottom w:val="nil"/>
                    <w:right w:val="nil"/>
                  </w:tcBorders>
                  <w:vAlign w:val="center"/>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62075" cy="504825"/>
                        <wp:effectExtent l="0" t="0" r="9525" b="9525"/>
                        <wp:docPr id="11" name="Picture 11" descr="http://www.endothelix.com/eblast/oct-17-2013/images/junma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ndothelix.com/eblast/oct-17-2013/images/junmasig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2075" cy="504825"/>
                                </a:xfrm>
                                <a:prstGeom prst="rect">
                                  <a:avLst/>
                                </a:prstGeom>
                                <a:noFill/>
                                <a:ln>
                                  <a:noFill/>
                                </a:ln>
                              </pic:spPr>
                            </pic:pic>
                          </a:graphicData>
                        </a:graphic>
                      </wp:inline>
                    </w:drawing>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Jun Ma</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Chief Executive Officer</w:t>
                  </w:r>
                </w:p>
                <w:p w:rsidR="00D9022B" w:rsidRPr="00D9022B" w:rsidRDefault="00041CA2" w:rsidP="00D9022B">
                  <w:pPr>
                    <w:spacing w:after="0" w:line="240" w:lineRule="auto"/>
                    <w:ind w:left="75" w:right="75"/>
                    <w:rPr>
                      <w:rFonts w:ascii="Times New Roman" w:eastAsia="Times New Roman" w:hAnsi="Times New Roman" w:cs="Times New Roman"/>
                      <w:sz w:val="24"/>
                      <w:szCs w:val="24"/>
                    </w:rPr>
                  </w:pPr>
                  <w:hyperlink r:id="rId11" w:history="1">
                    <w:r w:rsidR="00D9022B" w:rsidRPr="00D9022B">
                      <w:rPr>
                        <w:rFonts w:ascii="Tahoma" w:eastAsia="Times New Roman" w:hAnsi="Tahoma" w:cs="Tahoma"/>
                        <w:color w:val="0000FF"/>
                        <w:sz w:val="20"/>
                        <w:szCs w:val="20"/>
                        <w:u w:val="single"/>
                      </w:rPr>
                      <w:t>Vasomedical, Inc.</w:t>
                    </w:r>
                  </w:hyperlink>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bl>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Location:</w:t>
            </w:r>
            <w:r w:rsidRPr="00D9022B">
              <w:rPr>
                <w:rFonts w:ascii="Tahoma" w:eastAsia="Times New Roman" w:hAnsi="Tahoma" w:cs="Tahoma"/>
                <w:sz w:val="20"/>
                <w:szCs w:val="20"/>
              </w:rPr>
              <w:t xml:space="preserve"> Aloft Hotel Downtown Dallas, 1033 Young St., Dallas, Texas 75202 · Phone: (214) 761-0000</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 xml:space="preserve">Room:  </w:t>
            </w:r>
            <w:r w:rsidRPr="00D9022B">
              <w:rPr>
                <w:rFonts w:ascii="Tahoma" w:eastAsia="Times New Roman" w:hAnsi="Tahoma" w:cs="Tahoma"/>
                <w:sz w:val="20"/>
                <w:szCs w:val="20"/>
              </w:rPr>
              <w:t>The “Party Pad”</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Event Date:</w:t>
            </w:r>
            <w:r w:rsidRPr="00D9022B">
              <w:rPr>
                <w:rFonts w:ascii="Tahoma" w:eastAsia="Times New Roman" w:hAnsi="Tahoma" w:cs="Tahoma"/>
                <w:sz w:val="20"/>
                <w:szCs w:val="20"/>
              </w:rPr>
              <w:t xml:space="preserve"> Sunday, November 17, 2013</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lastRenderedPageBreak/>
              <w:t>Event Time:</w:t>
            </w:r>
            <w:r w:rsidRPr="00D9022B">
              <w:rPr>
                <w:rFonts w:ascii="Tahoma" w:eastAsia="Times New Roman" w:hAnsi="Tahoma" w:cs="Tahoma"/>
                <w:sz w:val="20"/>
                <w:szCs w:val="20"/>
              </w:rPr>
              <w:t xml:space="preserve"> 7:00-9:00 pm, with dinner</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Chairmen: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Robert A. Kloner, M.D., Ph.D.</w:t>
            </w:r>
            <w:r w:rsidRPr="00D9022B">
              <w:rPr>
                <w:rFonts w:ascii="Tahoma" w:eastAsia="Times New Roman" w:hAnsi="Tahoma" w:cs="Tahoma"/>
                <w:sz w:val="20"/>
                <w:szCs w:val="20"/>
              </w:rPr>
              <w:br/>
              <w:t>Professor of Medicine, Cardiovascular Division, Keck School of Medicine, University of Southern California, Los Angeles, California</w:t>
            </w:r>
            <w:r w:rsidRPr="00D9022B">
              <w:rPr>
                <w:rFonts w:ascii="Tahoma" w:eastAsia="Times New Roman" w:hAnsi="Tahoma" w:cs="Tahoma"/>
                <w:sz w:val="20"/>
                <w:szCs w:val="20"/>
              </w:rPr>
              <w:br/>
              <w:t xml:space="preserve">Director of Research, Heart Institute of Good Samaritan Hospital, Los Angeles, California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Morteza Naghavi, M.D.</w:t>
            </w:r>
            <w:r w:rsidRPr="00D9022B">
              <w:rPr>
                <w:rFonts w:ascii="Tahoma" w:eastAsia="Times New Roman" w:hAnsi="Tahoma" w:cs="Tahoma"/>
                <w:sz w:val="20"/>
                <w:szCs w:val="20"/>
              </w:rPr>
              <w:br/>
              <w:t>Founder and President, Society for Heart Attack Prevention and Eradication (SHAPE)</w:t>
            </w:r>
            <w:r w:rsidRPr="00D9022B">
              <w:rPr>
                <w:rFonts w:ascii="Tahoma" w:eastAsia="Times New Roman" w:hAnsi="Tahoma" w:cs="Tahoma"/>
                <w:sz w:val="20"/>
                <w:szCs w:val="20"/>
              </w:rPr>
              <w:br/>
              <w:t>Chief Executive Officer, Fairway Medical Technologies, Houston, TX</w:t>
            </w:r>
            <w:r w:rsidRPr="00D9022B">
              <w:rPr>
                <w:rFonts w:ascii="Tahoma" w:eastAsia="Times New Roman" w:hAnsi="Tahoma" w:cs="Tahoma"/>
                <w:sz w:val="20"/>
                <w:szCs w:val="20"/>
              </w:rPr>
              <w:b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Sponsors:</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Ischemic Conditioning Therapeutics, Inc. (Houston, Texas, U.S.A.)</w:t>
            </w:r>
            <w:r w:rsidRPr="00D9022B">
              <w:rPr>
                <w:rFonts w:ascii="Tahoma" w:eastAsia="Times New Roman" w:hAnsi="Tahoma" w:cs="Tahoma"/>
                <w:sz w:val="20"/>
                <w:szCs w:val="20"/>
              </w:rPr>
              <w:br/>
              <w:t>Endothelix, Inc. (Houston, Texas, U.S.A.)</w:t>
            </w:r>
            <w:r w:rsidRPr="00D9022B">
              <w:rPr>
                <w:rFonts w:ascii="Tahoma" w:eastAsia="Times New Roman" w:hAnsi="Tahoma" w:cs="Tahoma"/>
                <w:sz w:val="20"/>
                <w:szCs w:val="20"/>
              </w:rPr>
              <w:br/>
              <w:t>Vasomedical, Inc. (Westbury, New York, U.S.A.)</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ahoma" w:eastAsia="Times New Roman" w:hAnsi="Tahoma" w:cs="Tahoma"/>
                <w:b/>
                <w:bCs/>
                <w:sz w:val="24"/>
                <w:szCs w:val="24"/>
              </w:rPr>
              <w:t>AGENDA</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1054"/>
              <w:gridCol w:w="6296"/>
              <w:gridCol w:w="2010"/>
            </w:tblGrid>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Welcome and Opening Remarks</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10 min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Introduction to the concepts of ischemic conditioning</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Robert A. Kloner, M.D., Ph.D.</w:t>
                  </w:r>
                  <w:r w:rsidRPr="00D9022B">
                    <w:rPr>
                      <w:rFonts w:ascii="Tahoma" w:eastAsia="Times New Roman" w:hAnsi="Tahoma" w:cs="Tahoma"/>
                      <w:sz w:val="20"/>
                      <w:szCs w:val="20"/>
                    </w:rPr>
                    <w:br/>
                    <w:t>Professor of Medicine, Cardiovascular Division, Keck School of Medicine, University of Southern California, Los Angeles, CA. Director of Research, Heart Institute of Good Samaritan Hospital, Los Angeles, CA</w:t>
                  </w: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10" name="Picture 10" descr="http://www.endothelix.com/eblast/oct-17-2013/images/klo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ndothelix.com/eblast/oct-17-2013/images/klon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Remote ischemic conditioning: an update on mechanisms</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 xml:space="preserve">Karin Przyklenk, Ph.D. </w:t>
                  </w:r>
                  <w:r w:rsidRPr="00D9022B">
                    <w:rPr>
                      <w:rFonts w:ascii="Tahoma" w:eastAsia="Times New Roman" w:hAnsi="Tahoma" w:cs="Tahoma"/>
                      <w:sz w:val="20"/>
                      <w:szCs w:val="20"/>
                    </w:rPr>
                    <w:br/>
                    <w:t>Professor and Director of the Cardiovascular Research Institute, Wayne State University School of Medicine, Detroit, MI</w:t>
                  </w: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9" name="Picture 9" descr="http://www.endothelix.com/eblast/oct-17-2013/images/pyrzle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ndothelix.com/eblast/oct-17-2013/images/pyrzlenk.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lastRenderedPageBreak/>
                    <w:t>10 min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Circulating progenitor cells: marker of regenerative capacity</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Arshed Quyyumi, M.D.</w:t>
                  </w:r>
                  <w:r w:rsidRPr="00D9022B">
                    <w:rPr>
                      <w:rFonts w:ascii="Tahoma" w:eastAsia="Times New Roman" w:hAnsi="Tahoma" w:cs="Tahoma"/>
                      <w:sz w:val="20"/>
                      <w:szCs w:val="20"/>
                    </w:rPr>
                    <w:br/>
                    <w:t>Professor of Cardiology, Co-Director of Emory Clinical Cardiovascular Research Institute, Department of Medicine, Emory University School of Medicine, Atlanta, GA</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8" name="Picture 8" descr="http://www.endothelix.com/eblast/oct-17-2013/images/quyyu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ndothelix.com/eblast/oct-17-2013/images/quyyumi.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Endothelial dysfunction in specific clinical populations</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Christopher Wilcox, M.D., Ph.D.</w:t>
                  </w:r>
                  <w:r w:rsidRPr="00D9022B">
                    <w:rPr>
                      <w:rFonts w:ascii="Tahoma" w:eastAsia="Times New Roman" w:hAnsi="Tahoma" w:cs="Tahoma"/>
                      <w:sz w:val="20"/>
                      <w:szCs w:val="20"/>
                    </w:rPr>
                    <w:br/>
                    <w:t>Chief of Nephrology and Hypertension, Director of Cardiovascular-Kidney Institute, Vice-Chair for Academic Affairs, Department of Medicine, George E. Schreiner Chair of Nephrology, Georgetown University Medical Center, Washington, DC</w:t>
                  </w: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7" name="Picture 7" descr="http://www.endothelix.com/eblast/oct-17-2013/images/wilc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endothelix.com/eblast/oct-17-2013/images/wilco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before="75" w:after="75"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Effects of EECP therapy on CAD and heart failure treatment and integration of endothelial function measurement to follow clinical outcomes</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color w:val="0000FF"/>
                      <w:sz w:val="20"/>
                      <w:szCs w:val="20"/>
                    </w:rPr>
                    <w:t>Ozlem Soran, M.D.</w:t>
                  </w:r>
                  <w:r w:rsidRPr="00D9022B">
                    <w:rPr>
                      <w:rFonts w:ascii="Tahoma" w:eastAsia="Times New Roman" w:hAnsi="Tahoma" w:cs="Tahoma"/>
                      <w:sz w:val="20"/>
                      <w:szCs w:val="20"/>
                    </w:rPr>
                    <w:br/>
                    <w:t>Associate Professor of Medicine, Associate Professor of Epidemiology/Research, Director of EECP Treatment Lab, Heart and Vascular Institute, University of Pittsburgh, Pittsburgh, PA</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6" name="Picture 6" descr="http://www.endothelix.com/eblast/oct-17-2013/images/drso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dothelix.com/eblast/oct-17-2013/images/drsore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Effects of enhanced external counterpulsation (EECP) on endothelial function</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Gregory Barsness, M.D.</w:t>
                  </w:r>
                  <w:r w:rsidRPr="00D9022B">
                    <w:rPr>
                      <w:rFonts w:ascii="Tahoma" w:eastAsia="Times New Roman" w:hAnsi="Tahoma" w:cs="Tahoma"/>
                      <w:sz w:val="20"/>
                      <w:szCs w:val="20"/>
                    </w:rPr>
                    <w:br/>
                    <w:t>Assistant Professor of Medicine, Division of Cardiovascular Diseases, Mayo Clinic, Rochester, MN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5" name="Picture 5" descr="http://www.endothelix.com/eblast/oct-17-2013/images/bars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ndothelix.com/eblast/oct-17-2013/images/barsnes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Clinical studies linking endothelial function and ischemic conditioning</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Todd Anderson, M.D.</w:t>
                  </w:r>
                  <w:r w:rsidRPr="00D9022B">
                    <w:rPr>
                      <w:rFonts w:ascii="Tahoma" w:eastAsia="Times New Roman" w:hAnsi="Tahoma" w:cs="Tahoma"/>
                      <w:sz w:val="20"/>
                      <w:szCs w:val="20"/>
                    </w:rPr>
                    <w:br/>
                    <w:t>Director of Libin Cardiovascular Institute, Department Head Cardiac Science, Professor of Medicine, Department of Cardiovascular Sciences, University of Calgary, Calgary, AB, Canada</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4" name="Picture 4" descr="http://www.endothelix.com/eblast/oct-17-2013/images/and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ndothelix.com/eblast/oct-17-2013/images/anders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15 min</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 xml:space="preserve">Ischemic conditioning and athletic performance </w:t>
                  </w:r>
                  <w:r w:rsidRPr="00D9022B">
                    <w:rPr>
                      <w:rFonts w:ascii="Tahoma" w:eastAsia="Times New Roman" w:hAnsi="Tahoma" w:cs="Tahoma"/>
                      <w:sz w:val="20"/>
                      <w:szCs w:val="20"/>
                    </w:rPr>
                    <w:br/>
                  </w:r>
                  <w:r w:rsidRPr="00D9022B">
                    <w:rPr>
                      <w:rFonts w:ascii="Tahoma" w:eastAsia="Times New Roman" w:hAnsi="Tahoma" w:cs="Tahoma"/>
                      <w:b/>
                      <w:bCs/>
                      <w:color w:val="0000FF"/>
                      <w:sz w:val="20"/>
                      <w:szCs w:val="20"/>
                    </w:rPr>
                    <w:t>Hirofumi Tanaka, Ph.D.</w:t>
                  </w:r>
                  <w:r w:rsidRPr="00D9022B">
                    <w:rPr>
                      <w:rFonts w:ascii="Tahoma" w:eastAsia="Times New Roman" w:hAnsi="Tahoma" w:cs="Tahoma"/>
                      <w:sz w:val="20"/>
                      <w:szCs w:val="20"/>
                    </w:rPr>
                    <w:br/>
                    <w:t>Professor of Exercise Science, Director of Cardiovascular Aging Research Laboratory, University of Texas at Austin, Austin, TX</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3" name="Picture 3" descr="http://www.endothelix.com/eblast/oct-17-2013/images/tana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endothelix.com/eblast/oct-17-2013/images/tanak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Q&amp;A and Panel Discussion</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r w:rsidR="00D9022B" w:rsidRPr="00D9022B">
              <w:tc>
                <w:tcPr>
                  <w:tcW w:w="6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3450" w:type="pct"/>
                  <w:tcBorders>
                    <w:top w:val="nil"/>
                    <w:left w:val="nil"/>
                    <w:bottom w:val="nil"/>
                    <w:right w:val="nil"/>
                  </w:tcBorders>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sz w:val="20"/>
                      <w:szCs w:val="20"/>
                    </w:rPr>
                    <w:t>Closing</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b/>
                      <w:bCs/>
                      <w:color w:val="0000FF"/>
                      <w:sz w:val="20"/>
                      <w:szCs w:val="20"/>
                    </w:rPr>
                    <w:t>Morteza Naghavi, M.D.</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sz w:val="20"/>
                      <w:szCs w:val="20"/>
                    </w:rPr>
                    <w:t>Founder and President, Society for Heart Attack Prevention and Eradication (SHAPE). Chief Executive Officer, Fairway Medical Technologies, Houston, TX</w:t>
                  </w: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c>
                <w:tcPr>
                  <w:tcW w:w="900" w:type="pct"/>
                  <w:tcBorders>
                    <w:top w:val="nil"/>
                    <w:left w:val="nil"/>
                    <w:bottom w:val="nil"/>
                    <w:right w:val="nil"/>
                  </w:tcBorders>
                  <w:hideMark/>
                </w:tcPr>
                <w:p w:rsidR="00D9022B" w:rsidRPr="00D9022B" w:rsidRDefault="00D9022B" w:rsidP="00D9022B">
                  <w:pPr>
                    <w:spacing w:after="0" w:line="240" w:lineRule="auto"/>
                    <w:ind w:left="75" w:right="75"/>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47800"/>
                        <wp:effectExtent l="0" t="0" r="0" b="0"/>
                        <wp:docPr id="2" name="Picture 2" descr="http://www.endothelix.com/eblast/oct-17-2013/images/nagha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ndothelix.com/eblast/oct-17-2013/images/naghav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1100" cy="1447800"/>
                                </a:xfrm>
                                <a:prstGeom prst="rect">
                                  <a:avLst/>
                                </a:prstGeom>
                                <a:noFill/>
                                <a:ln>
                                  <a:noFill/>
                                </a:ln>
                              </pic:spPr>
                            </pic:pic>
                          </a:graphicData>
                        </a:graphic>
                      </wp:inline>
                    </w:drawing>
                  </w:r>
                </w:p>
              </w:tc>
            </w:tr>
            <w:tr w:rsidR="00D9022B" w:rsidRPr="00D9022B">
              <w:tc>
                <w:tcPr>
                  <w:tcW w:w="5000" w:type="pct"/>
                  <w:gridSpan w:val="3"/>
                  <w:tcBorders>
                    <w:top w:val="nil"/>
                    <w:left w:val="nil"/>
                    <w:bottom w:val="nil"/>
                    <w:right w:val="nil"/>
                  </w:tcBorders>
                  <w:vAlign w:val="center"/>
                  <w:hideMark/>
                </w:tcPr>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xml:space="preserve">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ahoma" w:eastAsia="Times New Roman" w:hAnsi="Tahoma" w:cs="Tahoma"/>
                      <w:color w:val="000000"/>
                      <w:sz w:val="20"/>
                      <w:szCs w:val="20"/>
                      <w:shd w:val="clear" w:color="auto" w:fill="FFFFFF"/>
                    </w:rPr>
                    <w:t>Please reply with "RSVP" to accept the invitation or reserve your seat on either the </w:t>
                  </w:r>
                  <w:hyperlink r:id="rId21" w:history="1">
                    <w:r w:rsidRPr="00D9022B">
                      <w:rPr>
                        <w:rFonts w:ascii="Tahoma" w:eastAsia="Times New Roman" w:hAnsi="Tahoma" w:cs="Tahoma"/>
                        <w:color w:val="0000FF"/>
                        <w:sz w:val="20"/>
                        <w:szCs w:val="20"/>
                        <w:u w:val="single"/>
                        <w:shd w:val="clear" w:color="auto" w:fill="FFFFFF"/>
                      </w:rPr>
                      <w:t>Endothelix</w:t>
                    </w:r>
                  </w:hyperlink>
                  <w:r w:rsidRPr="00D9022B">
                    <w:rPr>
                      <w:rFonts w:ascii="Tahoma" w:eastAsia="Times New Roman" w:hAnsi="Tahoma" w:cs="Tahoma"/>
                      <w:color w:val="000000"/>
                      <w:sz w:val="20"/>
                      <w:szCs w:val="20"/>
                      <w:shd w:val="clear" w:color="auto" w:fill="FFFFFF"/>
                    </w:rPr>
                    <w:t> or</w:t>
                  </w:r>
                  <w:hyperlink r:id="rId22" w:history="1">
                    <w:r w:rsidRPr="00D9022B">
                      <w:rPr>
                        <w:rFonts w:ascii="Tahoma" w:eastAsia="Times New Roman" w:hAnsi="Tahoma" w:cs="Tahoma"/>
                        <w:sz w:val="20"/>
                        <w:szCs w:val="20"/>
                        <w:shd w:val="clear" w:color="auto" w:fill="FFFFFF"/>
                      </w:rPr>
                      <w:t> </w:t>
                    </w:r>
                    <w:r w:rsidRPr="00D9022B">
                      <w:rPr>
                        <w:rFonts w:ascii="Tahoma" w:eastAsia="Times New Roman" w:hAnsi="Tahoma" w:cs="Tahoma"/>
                        <w:color w:val="0000FF"/>
                        <w:sz w:val="20"/>
                        <w:szCs w:val="20"/>
                        <w:u w:val="single"/>
                        <w:shd w:val="clear" w:color="auto" w:fill="FFFFFF"/>
                      </w:rPr>
                      <w:t>ICT</w:t>
                    </w:r>
                  </w:hyperlink>
                  <w:r w:rsidRPr="00D9022B">
                    <w:rPr>
                      <w:rFonts w:ascii="Tahoma" w:eastAsia="Times New Roman" w:hAnsi="Tahoma" w:cs="Tahoma"/>
                      <w:color w:val="000000"/>
                      <w:sz w:val="20"/>
                      <w:szCs w:val="20"/>
                      <w:shd w:val="clear" w:color="auto" w:fill="FFFFFF"/>
                    </w:rPr>
                    <w:t> websites.</w:t>
                  </w:r>
                  <w:r w:rsidRPr="00D9022B">
                    <w:rPr>
                      <w:rFonts w:ascii="Tahoma" w:eastAsia="Times New Roman" w:hAnsi="Tahoma" w:cs="Tahoma"/>
                      <w:sz w:val="20"/>
                      <w:szCs w:val="20"/>
                    </w:rPr>
                    <w:b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33500" cy="1333500"/>
                        <wp:effectExtent l="0" t="0" r="0" b="0"/>
                        <wp:docPr id="1" name="Picture 1" descr="http://www.endothelix.com/eblast/oct-17-2013/images/registerbutton.pn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ndothelix.com/eblast/oct-17-2013/images/registerbutton.png">
                                  <a:hlinkClick r:id="rId21"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p w:rsidR="00D9022B" w:rsidRPr="00D9022B" w:rsidRDefault="00D9022B" w:rsidP="00D9022B">
                  <w:pPr>
                    <w:spacing w:after="0" w:line="240" w:lineRule="auto"/>
                    <w:ind w:left="75" w:right="75"/>
                    <w:rPr>
                      <w:rFonts w:ascii="Times New Roman" w:eastAsia="Times New Roman" w:hAnsi="Times New Roman" w:cs="Times New Roman"/>
                      <w:sz w:val="24"/>
                      <w:szCs w:val="24"/>
                    </w:rPr>
                  </w:pPr>
                  <w:r w:rsidRPr="00D9022B">
                    <w:rPr>
                      <w:rFonts w:ascii="Times New Roman" w:eastAsia="Times New Roman" w:hAnsi="Times New Roman" w:cs="Times New Roman"/>
                      <w:sz w:val="24"/>
                      <w:szCs w:val="24"/>
                    </w:rPr>
                    <w:t> </w:t>
                  </w:r>
                </w:p>
              </w:tc>
            </w:tr>
          </w:tbl>
          <w:p w:rsidR="00D9022B" w:rsidRPr="00D9022B" w:rsidRDefault="00D9022B" w:rsidP="00D9022B">
            <w:pPr>
              <w:spacing w:after="0" w:line="240" w:lineRule="auto"/>
              <w:rPr>
                <w:rFonts w:ascii="Times New Roman" w:eastAsia="Times New Roman" w:hAnsi="Times New Roman" w:cs="Times New Roman"/>
                <w:sz w:val="24"/>
                <w:szCs w:val="24"/>
              </w:rPr>
            </w:pPr>
          </w:p>
        </w:tc>
      </w:tr>
    </w:tbl>
    <w:p w:rsidR="00135BCB" w:rsidRDefault="00135BCB"/>
    <w:sectPr w:rsidR="00135BCB" w:rsidSect="00D72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22B"/>
    <w:rsid w:val="00041CA2"/>
    <w:rsid w:val="00135BCB"/>
    <w:rsid w:val="00D720A1"/>
    <w:rsid w:val="00D9022B"/>
    <w:rsid w:val="00DE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2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022B"/>
    <w:rPr>
      <w:color w:val="0000FF"/>
      <w:u w:val="single"/>
    </w:rPr>
  </w:style>
  <w:style w:type="character" w:customStyle="1" w:styleId="apple-converted-space">
    <w:name w:val="apple-converted-space"/>
    <w:basedOn w:val="DefaultParagraphFont"/>
    <w:rsid w:val="00D9022B"/>
  </w:style>
  <w:style w:type="paragraph" w:styleId="BalloonText">
    <w:name w:val="Balloon Text"/>
    <w:basedOn w:val="Normal"/>
    <w:link w:val="BalloonTextChar"/>
    <w:uiPriority w:val="99"/>
    <w:semiHidden/>
    <w:unhideWhenUsed/>
    <w:rsid w:val="00D9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2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022B"/>
    <w:rPr>
      <w:color w:val="0000FF"/>
      <w:u w:val="single"/>
    </w:rPr>
  </w:style>
  <w:style w:type="character" w:customStyle="1" w:styleId="apple-converted-space">
    <w:name w:val="apple-converted-space"/>
    <w:basedOn w:val="DefaultParagraphFont"/>
    <w:rsid w:val="00D9022B"/>
  </w:style>
  <w:style w:type="paragraph" w:styleId="BalloonText">
    <w:name w:val="Balloon Text"/>
    <w:basedOn w:val="Normal"/>
    <w:link w:val="BalloonTextChar"/>
    <w:uiPriority w:val="99"/>
    <w:semiHidden/>
    <w:unhideWhenUsed/>
    <w:rsid w:val="00D9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endothelix.com/index.php/physicians/see-us-at-aha"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vasomedical.co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image" Target="media/image15.pn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www.endothelix.com" TargetMode="External"/><Relationship Id="rId14" Type="http://schemas.openxmlformats.org/officeDocument/2006/relationships/image" Target="media/image8.jpeg"/><Relationship Id="rId22" Type="http://schemas.openxmlformats.org/officeDocument/2006/relationships/hyperlink" Target="http://www.ictherapeutics.com/index.php/component/k2/item/103-symposium-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Johnson</dc:creator>
  <cp:lastModifiedBy>Jennifer McNeal-Walker</cp:lastModifiedBy>
  <cp:revision>2</cp:revision>
  <dcterms:created xsi:type="dcterms:W3CDTF">2013-10-29T16:54:00Z</dcterms:created>
  <dcterms:modified xsi:type="dcterms:W3CDTF">2013-10-29T16:54:00Z</dcterms:modified>
</cp:coreProperties>
</file>