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1DC9" w:rsidRDefault="00D52869">
      <w:pPr>
        <w:jc w:val="center"/>
      </w:pPr>
      <w:proofErr w:type="spellStart"/>
      <w:r>
        <w:rPr>
          <w:b/>
          <w:sz w:val="28"/>
        </w:rPr>
        <w:t>Altium</w:t>
      </w:r>
      <w:proofErr w:type="spellEnd"/>
      <w:r>
        <w:rPr>
          <w:b/>
          <w:sz w:val="28"/>
        </w:rPr>
        <w:t xml:space="preserve"> and Rosenberger Partner to Help PCB Designers save Time and Reduce Design Rework</w:t>
      </w:r>
    </w:p>
    <w:p w:rsidR="00151DC9" w:rsidRDefault="00D52869">
      <w:pPr>
        <w:jc w:val="center"/>
      </w:pPr>
      <w:r>
        <w:rPr>
          <w:i/>
        </w:rPr>
        <w:t xml:space="preserve">Wide Range of Board-mount Connector Solutions from Rosenberger Now Available to </w:t>
      </w:r>
      <w:proofErr w:type="spellStart"/>
      <w:r>
        <w:rPr>
          <w:i/>
        </w:rPr>
        <w:t>Altium</w:t>
      </w:r>
      <w:proofErr w:type="spellEnd"/>
      <w:r>
        <w:rPr>
          <w:i/>
        </w:rPr>
        <w:t xml:space="preserve"> Subscribers</w:t>
      </w:r>
    </w:p>
    <w:p w:rsidR="00151DC9" w:rsidRDefault="00151DC9"/>
    <w:p w:rsidR="00151DC9" w:rsidRDefault="00D52869">
      <w:pPr>
        <w:spacing w:after="0" w:line="240" w:lineRule="auto"/>
      </w:pPr>
      <w:r>
        <w:rPr>
          <w:b/>
          <w:highlight w:val="white"/>
        </w:rPr>
        <w:t>Sydney, Australia - 11 February 2014</w:t>
      </w:r>
      <w:r>
        <w:rPr>
          <w:color w:val="666666"/>
          <w:highlight w:val="white"/>
        </w:rPr>
        <w:t xml:space="preserve"> - </w:t>
      </w:r>
      <w:hyperlink r:id="rId8"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Altium</w:t>
        </w:r>
        <w:proofErr w:type="spellEnd"/>
        <w:r>
          <w:rPr>
            <w:color w:val="1155CC"/>
            <w:u w:val="single"/>
          </w:rPr>
          <w:t xml:space="preserve"> Limited</w:t>
        </w:r>
      </w:hyperlink>
      <w:r>
        <w:t>, a global leader in Smart System Design Automation and provider of solutions for 3D PCB design (</w:t>
      </w:r>
      <w:proofErr w:type="spellStart"/>
      <w:r>
        <w:fldChar w:fldCharType="begin"/>
      </w:r>
      <w:r>
        <w:instrText xml:space="preserve"> HYPERLINK "http://products.live.altium.com/" \h </w:instrText>
      </w:r>
      <w:r>
        <w:fldChar w:fldCharType="separate"/>
      </w:r>
      <w:r>
        <w:rPr>
          <w:color w:val="1155CC"/>
          <w:u w:val="single"/>
        </w:rPr>
        <w:t>Altium</w:t>
      </w:r>
      <w:proofErr w:type="spellEnd"/>
      <w:r>
        <w:rPr>
          <w:color w:val="1155CC"/>
          <w:u w:val="single"/>
        </w:rPr>
        <w:t xml:space="preserve"> Designer</w:t>
      </w:r>
      <w:r>
        <w:rPr>
          <w:color w:val="1155CC"/>
          <w:u w:val="single"/>
        </w:rPr>
        <w:fldChar w:fldCharType="end"/>
      </w:r>
      <w:r>
        <w:t>) and embedded software development (</w:t>
      </w:r>
      <w:hyperlink r:id="rId9">
        <w:r>
          <w:rPr>
            <w:color w:val="1155CC"/>
            <w:u w:val="single"/>
          </w:rPr>
          <w:t>TASKING</w:t>
        </w:r>
      </w:hyperlink>
      <w:r>
        <w:t xml:space="preserve">), </w:t>
      </w:r>
      <w:r>
        <w:t>today</w:t>
      </w:r>
      <w:r>
        <w:t xml:space="preserve"> released a new range of PCB component libraries for </w:t>
      </w:r>
      <w:proofErr w:type="spellStart"/>
      <w:r>
        <w:t>Altium</w:t>
      </w:r>
      <w:proofErr w:type="spellEnd"/>
      <w:r>
        <w:t xml:space="preserve"> Designer supporting</w:t>
      </w:r>
      <w:r>
        <w:t xml:space="preserve"> a wide r</w:t>
      </w:r>
      <w:r>
        <w:t>ange of Rosenberger’s</w:t>
      </w:r>
      <w:r>
        <w:t xml:space="preserve"> board-mount connectors.</w:t>
      </w:r>
      <w:r>
        <w:br/>
      </w:r>
    </w:p>
    <w:p w:rsidR="00151DC9" w:rsidRDefault="00D52869">
      <w:pPr>
        <w:spacing w:after="0" w:line="240" w:lineRule="auto"/>
      </w:pPr>
      <w:hyperlink r:id="rId10">
        <w:r>
          <w:rPr>
            <w:color w:val="1155CC"/>
            <w:u w:val="single"/>
          </w:rPr>
          <w:t>Rosenberger</w:t>
        </w:r>
      </w:hyperlink>
      <w:r>
        <w:t xml:space="preserve"> de</w:t>
      </w:r>
      <w:r>
        <w:t xml:space="preserve">velops and produces a wide range of standard and customized connectivity solutions spanning high frequency and </w:t>
      </w:r>
      <w:proofErr w:type="spellStart"/>
      <w:r>
        <w:t>fiber</w:t>
      </w:r>
      <w:proofErr w:type="spellEnd"/>
      <w:r>
        <w:t xml:space="preserve"> optic technologies. Their product portfolio includes RF connectors, cable assemblies, RF test and measurement devices, automotive products,</w:t>
      </w:r>
      <w:r>
        <w:t xml:space="preserve"> </w:t>
      </w:r>
      <w:proofErr w:type="spellStart"/>
      <w:r>
        <w:t>fiber</w:t>
      </w:r>
      <w:proofErr w:type="spellEnd"/>
      <w:r>
        <w:t xml:space="preserve"> optics, and custom </w:t>
      </w:r>
      <w:r>
        <w:t xml:space="preserve">copper and </w:t>
      </w:r>
      <w:proofErr w:type="spellStart"/>
      <w:r>
        <w:t>fiber</w:t>
      </w:r>
      <w:proofErr w:type="spellEnd"/>
      <w:r>
        <w:t xml:space="preserve"> optic </w:t>
      </w:r>
      <w:r>
        <w:t>assemblies.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t xml:space="preserve">“With </w:t>
      </w:r>
      <w:proofErr w:type="spellStart"/>
      <w:r>
        <w:t>Altium</w:t>
      </w:r>
      <w:proofErr w:type="spellEnd"/>
      <w:r>
        <w:t xml:space="preserve"> now supporting Rosenberger connectors in </w:t>
      </w:r>
      <w:proofErr w:type="spellStart"/>
      <w:r>
        <w:t>Altium</w:t>
      </w:r>
      <w:proofErr w:type="spellEnd"/>
      <w:r>
        <w:t xml:space="preserve"> Designer, our customers can create designs with a new level of confidence,” commented Josef </w:t>
      </w:r>
      <w:proofErr w:type="spellStart"/>
      <w:r>
        <w:t>Gramsamer</w:t>
      </w:r>
      <w:proofErr w:type="spellEnd"/>
      <w:r>
        <w:t>, Product Marketing Management a</w:t>
      </w:r>
      <w:r>
        <w:t xml:space="preserve">t Rosenberger. </w:t>
      </w:r>
      <w:r w:rsidR="009B0DA7">
        <w:t>“</w:t>
      </w:r>
      <w:r>
        <w:t xml:space="preserve">With precise and validated 3D footprints, now available from </w:t>
      </w:r>
      <w:proofErr w:type="spellStart"/>
      <w:r>
        <w:t>Altium</w:t>
      </w:r>
      <w:proofErr w:type="spellEnd"/>
      <w:r>
        <w:t xml:space="preserve">, designers can create quality connectivity solutions with a greater focus on the design itself. We are very happy to be working with </w:t>
      </w:r>
      <w:proofErr w:type="spellStart"/>
      <w:r>
        <w:t>Altium</w:t>
      </w:r>
      <w:proofErr w:type="spellEnd"/>
      <w:r>
        <w:t xml:space="preserve"> to deliver such a high standard o</w:t>
      </w:r>
      <w:r>
        <w:t>f detailed Rosenberger footprints.”</w:t>
      </w:r>
      <w:r>
        <w:br/>
        <w:t xml:space="preserve"> </w:t>
      </w:r>
    </w:p>
    <w:p w:rsidR="00151DC9" w:rsidRDefault="00D52869">
      <w:pPr>
        <w:spacing w:after="0" w:line="240" w:lineRule="auto"/>
      </w:pPr>
      <w:r>
        <w:t xml:space="preserve">By releasing board-level components to support Rosenberger connectors, </w:t>
      </w:r>
      <w:proofErr w:type="spellStart"/>
      <w:r>
        <w:t>Altium</w:t>
      </w:r>
      <w:proofErr w:type="spellEnd"/>
      <w:r>
        <w:t xml:space="preserve"> eliminates the need for engineers to spend time developing PCB footprints, schematic symbols and complex 3D models. Using STEP models provid</w:t>
      </w:r>
      <w:r>
        <w:t xml:space="preserve">ed by Rosenberger, </w:t>
      </w:r>
      <w:proofErr w:type="spellStart"/>
      <w:r>
        <w:t>Altium</w:t>
      </w:r>
      <w:proofErr w:type="spellEnd"/>
      <w:r>
        <w:t xml:space="preserve"> can also ensure the quality and precision of the footprints, mak</w:t>
      </w:r>
      <w:r>
        <w:t>ing</w:t>
      </w:r>
      <w:r>
        <w:t xml:space="preserve"> them ready to use </w:t>
      </w:r>
      <w:r>
        <w:t>immediately</w:t>
      </w:r>
      <w:r>
        <w:t>.</w:t>
      </w:r>
    </w:p>
    <w:p w:rsidR="00151DC9" w:rsidRDefault="00151DC9">
      <w:pPr>
        <w:tabs>
          <w:tab w:val="left" w:pos="8040"/>
        </w:tabs>
        <w:spacing w:after="0" w:line="240" w:lineRule="auto"/>
      </w:pPr>
    </w:p>
    <w:p w:rsidR="00151DC9" w:rsidRDefault="00D52869">
      <w:pPr>
        <w:spacing w:after="0" w:line="240" w:lineRule="auto"/>
      </w:pPr>
      <w:r>
        <w:t>The board-mount connector series covered in this Rosenberger release include:</w:t>
      </w:r>
      <w:r>
        <w:t xml:space="preserve"> </w:t>
      </w:r>
      <w:r>
        <w:br/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 xml:space="preserve">SMP, P-SMP, </w:t>
      </w:r>
      <w:proofErr w:type="spellStart"/>
      <w:r>
        <w:t>Longwipe</w:t>
      </w:r>
      <w:proofErr w:type="spellEnd"/>
      <w:r>
        <w:t>-SMP and mini-SMP coaxial conn</w:t>
      </w:r>
      <w:r>
        <w:t>ectors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SMA (screw-on) and SMB (</w:t>
      </w:r>
      <w:proofErr w:type="spellStart"/>
      <w:r>
        <w:t>snap-on</w:t>
      </w:r>
      <w:proofErr w:type="spellEnd"/>
      <w:r>
        <w:t>) coaxial connectors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50 Ohm and 75 Ohm BNC connectors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FAKRA SMB RF connectors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proofErr w:type="spellStart"/>
      <w:r>
        <w:t>RosenbergerHSD</w:t>
      </w:r>
      <w:proofErr w:type="spellEnd"/>
      <w:r>
        <w:t>®</w:t>
      </w:r>
      <w:r>
        <w:t xml:space="preserve"> automotive interconnects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DIN 41626-II mixed card edge connectors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QMA coaxial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r>
        <w:t>Mini-Coax Inserts</w:t>
      </w:r>
    </w:p>
    <w:p w:rsidR="00151DC9" w:rsidRDefault="00D52869">
      <w:pPr>
        <w:numPr>
          <w:ilvl w:val="0"/>
          <w:numId w:val="1"/>
        </w:numPr>
        <w:spacing w:after="0" w:line="240" w:lineRule="auto"/>
        <w:ind w:hanging="359"/>
      </w:pPr>
      <w:proofErr w:type="spellStart"/>
      <w:r>
        <w:t>RoDI</w:t>
      </w:r>
      <w:proofErr w:type="spellEnd"/>
      <w:r>
        <w:t>® - Rosenberger Diagnosti</w:t>
      </w:r>
      <w:r>
        <w:t>c Interface Products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t xml:space="preserve">With the need to keep </w:t>
      </w:r>
      <w:r>
        <w:t>up with</w:t>
      </w:r>
      <w:r>
        <w:t xml:space="preserve"> shorter</w:t>
      </w:r>
      <w:r>
        <w:t xml:space="preserve"> design cycle times, </w:t>
      </w:r>
      <w:proofErr w:type="spellStart"/>
      <w:r>
        <w:t>Altium</w:t>
      </w:r>
      <w:proofErr w:type="spellEnd"/>
      <w:r>
        <w:t xml:space="preserve"> Designer subscriber customers enjoy access to </w:t>
      </w:r>
      <w:proofErr w:type="spellStart"/>
      <w:r>
        <w:t>Altium’s</w:t>
      </w:r>
      <w:proofErr w:type="spellEnd"/>
      <w:r>
        <w:t xml:space="preserve"> extensive Content Vault which includes board design support for more than 150,000 components , which now includ</w:t>
      </w:r>
      <w:r>
        <w:t>es</w:t>
      </w:r>
      <w:r>
        <w:t xml:space="preserve"> </w:t>
      </w:r>
      <w:r>
        <w:t>Rosenberger</w:t>
      </w:r>
      <w:r>
        <w:t xml:space="preserve"> along with</w:t>
      </w:r>
      <w:r>
        <w:t xml:space="preserve"> other vendors such as Texas Instruments, Microchip, </w:t>
      </w:r>
      <w:r>
        <w:t>FTDI</w:t>
      </w:r>
      <w:r>
        <w:t xml:space="preserve"> and more.</w:t>
      </w:r>
      <w:r>
        <w:br/>
      </w:r>
    </w:p>
    <w:p w:rsidR="00151DC9" w:rsidRDefault="00D52869">
      <w:pPr>
        <w:spacing w:after="0" w:line="240" w:lineRule="auto"/>
        <w:ind w:right="160"/>
      </w:pPr>
      <w:bookmarkStart w:id="0" w:name="h.gjdgxs" w:colFirst="0" w:colLast="0"/>
      <w:bookmarkEnd w:id="0"/>
      <w:r>
        <w:t xml:space="preserve">More information on board-level components and how they are accessed in </w:t>
      </w:r>
      <w:proofErr w:type="spellStart"/>
      <w:r>
        <w:t>Altium</w:t>
      </w:r>
      <w:proofErr w:type="spellEnd"/>
      <w:r>
        <w:t xml:space="preserve"> Designer is available from</w:t>
      </w:r>
      <w:hyperlink r:id="rId11">
        <w:r>
          <w:rPr>
            <w:color w:val="1155CC"/>
            <w:u w:val="single"/>
          </w:rPr>
          <w:t xml:space="preserve"> AltiumLive</w:t>
        </w:r>
      </w:hyperlink>
      <w:r>
        <w:t xml:space="preserve"> and in the related</w:t>
      </w:r>
      <w:hyperlink r:id="rId12">
        <w:r>
          <w:rPr>
            <w:color w:val="1155CC"/>
          </w:rPr>
          <w:t xml:space="preserve"> </w:t>
        </w:r>
      </w:hyperlink>
      <w:hyperlink r:id="rId13">
        <w:r>
          <w:rPr>
            <w:color w:val="1155CC"/>
            <w:u w:val="single"/>
          </w:rPr>
          <w:t>blogs</w:t>
        </w:r>
      </w:hyperlink>
      <w:r>
        <w:t xml:space="preserve">. All connectors in this release are available from </w:t>
      </w:r>
      <w:r>
        <w:lastRenderedPageBreak/>
        <w:t>Rosenberger directly and via their global sales network. For more information, go t</w:t>
      </w:r>
      <w:r>
        <w:t xml:space="preserve">o </w:t>
      </w:r>
      <w:hyperlink r:id="rId14">
        <w:r>
          <w:rPr>
            <w:color w:val="0000FF"/>
            <w:u w:val="single"/>
          </w:rPr>
          <w:t>www.rosenberger.com</w:t>
        </w:r>
      </w:hyperlink>
      <w:r>
        <w:t>.</w:t>
      </w:r>
    </w:p>
    <w:p w:rsidR="00151DC9" w:rsidRDefault="00151DC9">
      <w:pPr>
        <w:spacing w:after="0" w:line="240" w:lineRule="auto"/>
        <w:ind w:right="160"/>
      </w:pPr>
    </w:p>
    <w:p w:rsidR="00151DC9" w:rsidRDefault="00D52869">
      <w:pPr>
        <w:spacing w:after="0" w:line="240" w:lineRule="auto"/>
      </w:pPr>
      <w:r>
        <w:t>ENDS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t>Contacts:</w:t>
      </w:r>
    </w:p>
    <w:p w:rsidR="00151DC9" w:rsidRDefault="00151DC9">
      <w:pPr>
        <w:spacing w:after="0" w:line="240" w:lineRule="auto"/>
      </w:pPr>
    </w:p>
    <w:tbl>
      <w:tblPr>
        <w:tblW w:w="9360" w:type="dxa"/>
        <w:tblInd w:w="9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3825"/>
        <w:gridCol w:w="3840"/>
      </w:tblGrid>
      <w:tr w:rsidR="00151DC9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>Americas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>Wendy Krugman</w:t>
            </w:r>
          </w:p>
          <w:p w:rsidR="00151DC9" w:rsidRDefault="00D52869">
            <w:pPr>
              <w:spacing w:after="0" w:line="240" w:lineRule="auto"/>
            </w:pPr>
            <w:r>
              <w:t>The Hoffman Agency</w:t>
            </w:r>
          </w:p>
          <w:p w:rsidR="00151DC9" w:rsidRDefault="00D52869">
            <w:pPr>
              <w:spacing w:after="0" w:line="240" w:lineRule="auto"/>
            </w:pPr>
            <w:r>
              <w:t>+1 408 859 6394</w:t>
            </w:r>
          </w:p>
          <w:p w:rsidR="00151DC9" w:rsidRDefault="00D52869">
            <w:pPr>
              <w:spacing w:after="0" w:line="240" w:lineRule="auto"/>
            </w:pPr>
            <w:r>
              <w:t>wkrugman@hoffman.com</w:t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>Lawrence Romine</w:t>
            </w:r>
          </w:p>
          <w:p w:rsidR="00151DC9" w:rsidRDefault="00D52869">
            <w:pPr>
              <w:spacing w:after="0" w:line="240" w:lineRule="auto"/>
            </w:pPr>
            <w:proofErr w:type="spellStart"/>
            <w:r>
              <w:t>Altium</w:t>
            </w:r>
            <w:proofErr w:type="spellEnd"/>
            <w:r>
              <w:t xml:space="preserve"> United States</w:t>
            </w:r>
          </w:p>
          <w:p w:rsidR="00151DC9" w:rsidRDefault="00D52869">
            <w:pPr>
              <w:spacing w:after="0" w:line="240" w:lineRule="auto"/>
            </w:pPr>
            <w:r>
              <w:t>+1 760 231 0752</w:t>
            </w:r>
          </w:p>
          <w:p w:rsidR="00151DC9" w:rsidRDefault="00D52869">
            <w:pPr>
              <w:spacing w:after="0" w:line="240" w:lineRule="auto"/>
            </w:pPr>
            <w:r>
              <w:t>lawrence.romine@altium.com</w:t>
            </w:r>
          </w:p>
        </w:tc>
      </w:tr>
      <w:tr w:rsidR="00151DC9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>EMEA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 xml:space="preserve">Gabriele </w:t>
            </w:r>
            <w:proofErr w:type="spellStart"/>
            <w:r>
              <w:t>Amelunxen</w:t>
            </w:r>
            <w:proofErr w:type="spellEnd"/>
          </w:p>
          <w:p w:rsidR="00151DC9" w:rsidRDefault="00D52869">
            <w:pPr>
              <w:spacing w:after="0" w:line="240" w:lineRule="auto"/>
            </w:pPr>
            <w:proofErr w:type="spellStart"/>
            <w:r>
              <w:t>PRismaPR</w:t>
            </w:r>
            <w:proofErr w:type="spellEnd"/>
          </w:p>
          <w:p w:rsidR="00151DC9" w:rsidRDefault="00D52869">
            <w:pPr>
              <w:spacing w:after="0" w:line="240" w:lineRule="auto"/>
            </w:pPr>
            <w:r>
              <w:t>+49 8106 247 233</w:t>
            </w:r>
          </w:p>
          <w:p w:rsidR="00151DC9" w:rsidRDefault="00D52869">
            <w:pPr>
              <w:spacing w:after="0" w:line="240" w:lineRule="auto"/>
            </w:pPr>
            <w:r>
              <w:t>info@prismapr.com</w:t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 xml:space="preserve">Frank </w:t>
            </w:r>
            <w:proofErr w:type="spellStart"/>
            <w:r>
              <w:t>Krämer</w:t>
            </w:r>
            <w:proofErr w:type="spellEnd"/>
          </w:p>
          <w:p w:rsidR="00151DC9" w:rsidRDefault="00D52869">
            <w:pPr>
              <w:spacing w:after="0" w:line="240" w:lineRule="auto"/>
            </w:pPr>
            <w:proofErr w:type="spellStart"/>
            <w:r>
              <w:t>Altium</w:t>
            </w:r>
            <w:proofErr w:type="spellEnd"/>
            <w:r>
              <w:t xml:space="preserve"> Europe GmbH</w:t>
            </w:r>
          </w:p>
          <w:p w:rsidR="00151DC9" w:rsidRDefault="00D52869">
            <w:pPr>
              <w:spacing w:after="0" w:line="240" w:lineRule="auto"/>
            </w:pPr>
            <w:r>
              <w:t>+49 721 8244 108</w:t>
            </w:r>
          </w:p>
          <w:p w:rsidR="00151DC9" w:rsidRDefault="00D52869">
            <w:pPr>
              <w:spacing w:after="0" w:line="240" w:lineRule="auto"/>
            </w:pPr>
            <w:r>
              <w:t>frank.kraemer@altium.com</w:t>
            </w:r>
          </w:p>
        </w:tc>
      </w:tr>
      <w:tr w:rsidR="00151DC9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151DC9">
            <w:pPr>
              <w:spacing w:after="0" w:line="240" w:lineRule="auto"/>
            </w:pP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</w:pPr>
            <w:r>
              <w:t xml:space="preserve">Monika </w:t>
            </w:r>
            <w:proofErr w:type="spellStart"/>
            <w:r>
              <w:t>Cunnington</w:t>
            </w:r>
            <w:proofErr w:type="spellEnd"/>
          </w:p>
          <w:p w:rsidR="00151DC9" w:rsidRDefault="00D52869">
            <w:pPr>
              <w:spacing w:after="0" w:line="240" w:lineRule="auto"/>
            </w:pPr>
            <w:proofErr w:type="spellStart"/>
            <w:r>
              <w:t>PRismaPR</w:t>
            </w:r>
            <w:proofErr w:type="spellEnd"/>
            <w:r>
              <w:t xml:space="preserve"> (UK, Scandinavia, Benelux)</w:t>
            </w:r>
          </w:p>
          <w:p w:rsidR="00151DC9" w:rsidRDefault="00D52869">
            <w:pPr>
              <w:spacing w:after="0" w:line="240" w:lineRule="auto"/>
            </w:pPr>
            <w:r>
              <w:t>+44-20 8133 6148</w:t>
            </w:r>
          </w:p>
          <w:p w:rsidR="00151DC9" w:rsidRDefault="00D52869">
            <w:pPr>
              <w:spacing w:after="0" w:line="240" w:lineRule="auto"/>
            </w:pPr>
            <w:r>
              <w:t>monika@prismapr.com</w:t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151DC9">
            <w:pPr>
              <w:spacing w:after="0" w:line="240" w:lineRule="auto"/>
            </w:pPr>
          </w:p>
        </w:tc>
      </w:tr>
      <w:tr w:rsidR="00151DC9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  <w:jc w:val="both"/>
            </w:pPr>
            <w:r>
              <w:t>APAC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  <w:jc w:val="both"/>
            </w:pPr>
            <w:r>
              <w:rPr>
                <w:highlight w:val="white"/>
              </w:rPr>
              <w:t>Celine Han</w:t>
            </w:r>
          </w:p>
          <w:p w:rsidR="00151DC9" w:rsidRDefault="00D52869">
            <w:pPr>
              <w:spacing w:after="0" w:line="240" w:lineRule="auto"/>
              <w:jc w:val="both"/>
            </w:pPr>
            <w:proofErr w:type="spellStart"/>
            <w:r>
              <w:rPr>
                <w:highlight w:val="white"/>
              </w:rPr>
              <w:t>Altium</w:t>
            </w:r>
            <w:proofErr w:type="spellEnd"/>
            <w:r>
              <w:rPr>
                <w:highlight w:val="white"/>
              </w:rPr>
              <w:t xml:space="preserve"> Public Relations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rPr>
                <w:highlight w:val="white"/>
              </w:rPr>
              <w:t>+86 186 1685 9685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celine.han@altium.com</w:t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151DC9">
            <w:pPr>
              <w:spacing w:after="0" w:line="240" w:lineRule="auto"/>
              <w:jc w:val="both"/>
            </w:pPr>
          </w:p>
        </w:tc>
      </w:tr>
      <w:tr w:rsidR="00151DC9">
        <w:tblPrEx>
          <w:tblCellMar>
            <w:top w:w="0" w:type="dxa"/>
            <w:bottom w:w="0" w:type="dxa"/>
          </w:tblCellMar>
        </w:tblPrEx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  <w:jc w:val="both"/>
            </w:pPr>
            <w:r>
              <w:t>Greater China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  <w:jc w:val="both"/>
            </w:pPr>
            <w:r>
              <w:t>王婷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霍夫曼公关顾问（北京）有限公司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电话</w:t>
            </w:r>
            <w:r>
              <w:t>: + 86 (0) 21 62033366-136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电子邮件：</w:t>
            </w:r>
            <w:r>
              <w:fldChar w:fldCharType="begin"/>
            </w:r>
            <w:r>
              <w:instrText xml:space="preserve"> HYPERLINK "mailto:dwang@hoffman.com" \h </w:instrText>
            </w:r>
            <w:r>
              <w:fldChar w:fldCharType="separate"/>
            </w:r>
            <w:r>
              <w:rPr>
                <w:u w:val="single"/>
              </w:rPr>
              <w:t>dwang@hoffman.com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DC9" w:rsidRDefault="00D52869">
            <w:pPr>
              <w:spacing w:after="0" w:line="240" w:lineRule="auto"/>
              <w:jc w:val="both"/>
            </w:pPr>
            <w:r>
              <w:t>仓巍</w:t>
            </w:r>
          </w:p>
          <w:p w:rsidR="00151DC9" w:rsidRDefault="00D52869">
            <w:pPr>
              <w:spacing w:after="0" w:line="240" w:lineRule="auto"/>
              <w:jc w:val="both"/>
            </w:pPr>
            <w:proofErr w:type="spellStart"/>
            <w:r>
              <w:t>Altium</w:t>
            </w:r>
            <w:proofErr w:type="spellEnd"/>
            <w:r>
              <w:t>中国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电话：</w:t>
            </w:r>
            <w:r>
              <w:t>+86 21 6182 3922</w:t>
            </w:r>
          </w:p>
          <w:p w:rsidR="00151DC9" w:rsidRDefault="00D52869">
            <w:pPr>
              <w:spacing w:after="0" w:line="240" w:lineRule="auto"/>
              <w:jc w:val="both"/>
            </w:pPr>
            <w:r>
              <w:t>电子邮件：</w:t>
            </w:r>
            <w:r>
              <w:fldChar w:fldCharType="begin"/>
            </w:r>
            <w:r>
              <w:instrText xml:space="preserve"> HYPERLINK "mailto:max.cang@altium.com" \h </w:instrText>
            </w:r>
            <w:r>
              <w:fldChar w:fldCharType="separate"/>
            </w:r>
            <w:r>
              <w:rPr>
                <w:u w:val="single"/>
              </w:rPr>
              <w:t>max.cang@altium.com</w:t>
            </w:r>
            <w:r>
              <w:rPr>
                <w:u w:val="single"/>
              </w:rPr>
              <w:fldChar w:fldCharType="end"/>
            </w:r>
          </w:p>
        </w:tc>
      </w:tr>
    </w:tbl>
    <w:p w:rsidR="00151DC9" w:rsidRDefault="00151DC9">
      <w:pPr>
        <w:spacing w:after="0" w:line="240" w:lineRule="auto"/>
      </w:pP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rPr>
          <w:b/>
        </w:rPr>
        <w:t>ABOUT ROSENBERGER</w:t>
      </w:r>
    </w:p>
    <w:p w:rsidR="00151DC9" w:rsidRDefault="00151DC9">
      <w:pPr>
        <w:spacing w:after="0" w:line="240" w:lineRule="auto"/>
      </w:pPr>
    </w:p>
    <w:p w:rsidR="00151DC9" w:rsidRDefault="00D52869">
      <w:bookmarkStart w:id="1" w:name="h.30j0zll" w:colFirst="0" w:colLast="0"/>
      <w:bookmarkEnd w:id="1"/>
      <w:r>
        <w:t xml:space="preserve">Rosenberger </w:t>
      </w:r>
      <w:proofErr w:type="spellStart"/>
      <w:r>
        <w:t>Hochfrequenztechnik</w:t>
      </w:r>
      <w:proofErr w:type="spellEnd"/>
      <w:r>
        <w:t xml:space="preserve"> GmbH &amp;</w:t>
      </w:r>
      <w:r>
        <w:t xml:space="preserve"> Co. KG was founded in 1958. Rosenberger, a family owned company, ranks today among the world-wide leading manufacturers of standard and customer-specific connectivity solutions in high frequency and fibre optic technology. </w:t>
      </w:r>
    </w:p>
    <w:p w:rsidR="00151DC9" w:rsidRDefault="00D52869">
      <w:pPr>
        <w:spacing w:after="0" w:line="240" w:lineRule="auto"/>
      </w:pPr>
      <w:r>
        <w:t>The product range covers RF coa</w:t>
      </w:r>
      <w:r>
        <w:t xml:space="preserve">xial connectors, RF test &amp; measurement products, </w:t>
      </w:r>
    </w:p>
    <w:p w:rsidR="00151DC9" w:rsidRDefault="00D52869">
      <w:pPr>
        <w:spacing w:after="0" w:line="240" w:lineRule="auto"/>
      </w:pPr>
      <w:r>
        <w:t>RF connectors for automotive electronics, medical and industrial electronics as well as fibre optic products and cable assemblies. Renowned companies in high-tech industries, e.g. telecommunication, data sy</w:t>
      </w:r>
      <w:r>
        <w:t>stems, medical electronics, test &amp; measurement, aerospace engineering or automotive electronics trust the precision and quality of Rosenberger products. Rosenberger is certified to ISO/TS 16949: 2002, ISO 9001 and ISO 14001.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t>More than 1,200 people are emp</w:t>
      </w:r>
      <w:r>
        <w:t xml:space="preserve">loyed today at the Rosenberger headquarters in </w:t>
      </w:r>
      <w:proofErr w:type="spellStart"/>
      <w:r>
        <w:t>Fridolfing</w:t>
      </w:r>
      <w:proofErr w:type="spellEnd"/>
      <w:r>
        <w:t>/</w:t>
      </w:r>
      <w:proofErr w:type="spellStart"/>
      <w:r>
        <w:t>Tittmoning</w:t>
      </w:r>
      <w:proofErr w:type="spellEnd"/>
      <w:r>
        <w:t xml:space="preserve"> </w:t>
      </w:r>
      <w:r>
        <w:lastRenderedPageBreak/>
        <w:t>(</w:t>
      </w:r>
      <w:proofErr w:type="spellStart"/>
      <w:r>
        <w:t>Oberbayern</w:t>
      </w:r>
      <w:proofErr w:type="spellEnd"/>
      <w:r>
        <w:t>, Germany). Worldwide, the Rosenberger group operates 19 manufacturing and assembly locations as well as the Rosenberger sales network in Europe, Asia and North and South Ameri</w:t>
      </w:r>
      <w:r>
        <w:t>ca where – in total – approx. 5,100 employees develop, produce and sell Rosenberger products.</w:t>
      </w:r>
    </w:p>
    <w:p w:rsidR="00151DC9" w:rsidRDefault="00151DC9">
      <w:pPr>
        <w:spacing w:after="0" w:line="240" w:lineRule="auto"/>
      </w:pP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rPr>
          <w:b/>
        </w:rPr>
        <w:t>ABOUT ALTIUM</w:t>
      </w:r>
      <w:r>
        <w:br/>
      </w:r>
    </w:p>
    <w:p w:rsidR="00151DC9" w:rsidRDefault="00D52869">
      <w:pPr>
        <w:spacing w:after="0" w:line="240" w:lineRule="auto"/>
      </w:pPr>
      <w:proofErr w:type="spellStart"/>
      <w:r>
        <w:t>Altium</w:t>
      </w:r>
      <w:proofErr w:type="spellEnd"/>
      <w:r>
        <w:t xml:space="preserve"> Limited (ASX</w:t>
      </w:r>
      <w:proofErr w:type="gramStart"/>
      <w:r>
        <w:t>:ALU</w:t>
      </w:r>
      <w:proofErr w:type="gramEnd"/>
      <w:r>
        <w:t>) is an Australian multinatio</w:t>
      </w:r>
      <w:bookmarkStart w:id="2" w:name="_GoBack"/>
      <w:bookmarkEnd w:id="2"/>
      <w:r>
        <w:t>nal software corporation that focuses on 3D PCB design, electronics design and embedded system</w:t>
      </w:r>
      <w:r>
        <w:t xml:space="preserve"> development software.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proofErr w:type="spellStart"/>
      <w:r>
        <w:t>Altium</w:t>
      </w:r>
      <w:proofErr w:type="spellEnd"/>
      <w:r>
        <w:t xml:space="preserve"> Designer, a unified electronics design environment links all aspects of smart systems design in a single application that is priced as affordable as possible. </w:t>
      </w:r>
      <w:proofErr w:type="spellStart"/>
      <w:r>
        <w:t>Altium's</w:t>
      </w:r>
      <w:proofErr w:type="spellEnd"/>
      <w:r>
        <w:t xml:space="preserve"> embedded software compilers are used around the globe by </w:t>
      </w:r>
      <w:r>
        <w:t xml:space="preserve">carmakers and the world's largest automotive Tier-1 suppliers. With this unique range of technologies </w:t>
      </w:r>
      <w:proofErr w:type="spellStart"/>
      <w:r>
        <w:t>Altium</w:t>
      </w:r>
      <w:proofErr w:type="spellEnd"/>
      <w:r>
        <w:t xml:space="preserve"> enables electronics designers to innovate, harness the latest devices and technologies, manage their projects across broad design ‘ecosystems’, and</w:t>
      </w:r>
      <w:r>
        <w:t xml:space="preserve"> create connected, intelligent products.</w:t>
      </w:r>
    </w:p>
    <w:p w:rsidR="00151DC9" w:rsidRDefault="00151DC9">
      <w:pPr>
        <w:spacing w:after="0" w:line="240" w:lineRule="auto"/>
      </w:pPr>
    </w:p>
    <w:p w:rsidR="00151DC9" w:rsidRDefault="00D52869">
      <w:pPr>
        <w:spacing w:after="0" w:line="240" w:lineRule="auto"/>
      </w:pPr>
      <w:r>
        <w:t xml:space="preserve">Founded in 1985, </w:t>
      </w:r>
      <w:proofErr w:type="spellStart"/>
      <w:r>
        <w:t>Altium</w:t>
      </w:r>
      <w:proofErr w:type="spellEnd"/>
      <w:r>
        <w:t xml:space="preserve"> has offices worldwide, with US locations in San Diego and Boston, European locations in Karlsruhe, Amersfoort and Kiev and Asia-Pacific locations in Shanghai, Tokyo and Sydney. For more info</w:t>
      </w:r>
      <w:r>
        <w:t>rmation, visit</w:t>
      </w:r>
      <w:hyperlink r:id="rId15">
        <w:r>
          <w:rPr>
            <w:color w:val="1155CC"/>
            <w:u w:val="single"/>
          </w:rPr>
          <w:t xml:space="preserve"> www.altium.com</w:t>
        </w:r>
      </w:hyperlink>
      <w:r>
        <w:t xml:space="preserve">. You can also follow and engage with </w:t>
      </w:r>
      <w:proofErr w:type="spellStart"/>
      <w:r>
        <w:t>Altium</w:t>
      </w:r>
      <w:proofErr w:type="spellEnd"/>
      <w:r>
        <w:t xml:space="preserve"> via</w:t>
      </w:r>
      <w:hyperlink r:id="rId16">
        <w:r>
          <w:rPr>
            <w:color w:val="1155CC"/>
            <w:u w:val="single"/>
          </w:rPr>
          <w:t xml:space="preserve"> Facebook</w:t>
        </w:r>
      </w:hyperlink>
      <w:r>
        <w:t>,</w:t>
      </w:r>
      <w:hyperlink r:id="rId17" w:anchor="!/altium">
        <w:r>
          <w:rPr>
            <w:color w:val="1155CC"/>
            <w:u w:val="single"/>
          </w:rPr>
          <w:t xml:space="preserve"> </w:t>
        </w:r>
        <w:r>
          <w:rPr>
            <w:color w:val="1155CC"/>
            <w:u w:val="single"/>
          </w:rPr>
          <w:t>Twitter</w:t>
        </w:r>
      </w:hyperlink>
      <w:r>
        <w:t xml:space="preserve"> and</w:t>
      </w:r>
      <w:hyperlink r:id="rId18">
        <w:r>
          <w:rPr>
            <w:color w:val="1155CC"/>
            <w:u w:val="single"/>
          </w:rPr>
          <w:t xml:space="preserve"> YouTube</w:t>
        </w:r>
      </w:hyperlink>
      <w:r>
        <w:t>.</w:t>
      </w:r>
    </w:p>
    <w:p w:rsidR="00151DC9" w:rsidRDefault="00151DC9">
      <w:pPr>
        <w:spacing w:after="0" w:line="240" w:lineRule="auto"/>
      </w:pPr>
    </w:p>
    <w:p w:rsidR="00151DC9" w:rsidRDefault="00151DC9">
      <w:pPr>
        <w:spacing w:after="0" w:line="240" w:lineRule="auto"/>
      </w:pPr>
    </w:p>
    <w:p w:rsidR="00151DC9" w:rsidRDefault="00151DC9">
      <w:pPr>
        <w:spacing w:after="0" w:line="240" w:lineRule="auto"/>
      </w:pPr>
    </w:p>
    <w:sectPr w:rsidR="00151DC9">
      <w:head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69" w:rsidRDefault="00D52869">
      <w:pPr>
        <w:spacing w:after="0" w:line="240" w:lineRule="auto"/>
      </w:pPr>
      <w:r>
        <w:separator/>
      </w:r>
    </w:p>
  </w:endnote>
  <w:endnote w:type="continuationSeparator" w:id="0">
    <w:p w:rsidR="00D52869" w:rsidRDefault="00D5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69" w:rsidRDefault="00D52869">
      <w:pPr>
        <w:spacing w:after="0" w:line="240" w:lineRule="auto"/>
      </w:pPr>
      <w:r>
        <w:separator/>
      </w:r>
    </w:p>
  </w:footnote>
  <w:footnote w:type="continuationSeparator" w:id="0">
    <w:p w:rsidR="00D52869" w:rsidRDefault="00D5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C9" w:rsidRDefault="00151D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1282"/>
    <w:multiLevelType w:val="multilevel"/>
    <w:tmpl w:val="59F0A7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1DC9"/>
    <w:rsid w:val="00151DC9"/>
    <w:rsid w:val="009B0DA7"/>
    <w:rsid w:val="00D52869"/>
    <w:rsid w:val="00D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ium.com/" TargetMode="External"/><Relationship Id="rId13" Type="http://schemas.openxmlformats.org/officeDocument/2006/relationships/hyperlink" Target="http://blog.live.altium.com/" TargetMode="External"/><Relationship Id="rId18" Type="http://schemas.openxmlformats.org/officeDocument/2006/relationships/hyperlink" Target="http://www.youtube.com/altiumofficia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log.live.altium.com/" TargetMode="External"/><Relationship Id="rId17" Type="http://schemas.openxmlformats.org/officeDocument/2006/relationships/hyperlink" Target="https://twitte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pages/Altium/1067264260491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ve.altium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tium.com/" TargetMode="External"/><Relationship Id="rId10" Type="http://schemas.openxmlformats.org/officeDocument/2006/relationships/hyperlink" Target="http://www.rosenbergerna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sking.com/" TargetMode="External"/><Relationship Id="rId14" Type="http://schemas.openxmlformats.org/officeDocument/2006/relationships/hyperlink" Target="http://www.rosenber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Altium and Rosenberger Partner to Help PCB Designers save Time and Reduce Design Rework.docx</dc:title>
  <cp:lastModifiedBy>Celine Han</cp:lastModifiedBy>
  <cp:revision>3</cp:revision>
  <dcterms:created xsi:type="dcterms:W3CDTF">2014-02-11T04:25:00Z</dcterms:created>
  <dcterms:modified xsi:type="dcterms:W3CDTF">2014-02-11T04:25:00Z</dcterms:modified>
</cp:coreProperties>
</file>