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22" w:rsidRPr="009E7A22" w:rsidRDefault="009E7A22" w:rsidP="009E7A22">
      <w:pPr>
        <w:jc w:val="center"/>
        <w:rPr>
          <w:rFonts w:ascii="Arial" w:eastAsia="PMingLiU" w:hAnsi="Arial" w:cs="Arial"/>
          <w:b/>
          <w:sz w:val="28"/>
          <w:szCs w:val="28"/>
          <w:lang w:eastAsia="zh-HK"/>
        </w:rPr>
      </w:pPr>
      <w:bookmarkStart w:id="0" w:name="_GoBack"/>
      <w:r w:rsidRPr="009E7A22">
        <w:rPr>
          <w:rFonts w:ascii="Arial" w:hAnsi="Arial" w:cs="Arial"/>
          <w:b/>
          <w:sz w:val="28"/>
          <w:szCs w:val="28"/>
        </w:rPr>
        <w:t>PCCW Teleservices wins Silver S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tevie</w:t>
      </w:r>
      <w:r w:rsidRPr="009E7A22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Pr="009E7A22">
        <w:rPr>
          <w:rFonts w:ascii="Arial" w:hAnsi="Arial" w:cs="Arial"/>
          <w:b/>
          <w:sz w:val="28"/>
          <w:szCs w:val="28"/>
        </w:rPr>
        <w:t>A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ward</w:t>
      </w:r>
      <w:r w:rsidRPr="009E7A22">
        <w:rPr>
          <w:rFonts w:ascii="Arial" w:hAnsi="Arial" w:cs="Arial"/>
          <w:b/>
          <w:sz w:val="28"/>
          <w:szCs w:val="28"/>
        </w:rPr>
        <w:t xml:space="preserve"> 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 xml:space="preserve">at the </w:t>
      </w:r>
    </w:p>
    <w:p w:rsidR="009E7A22" w:rsidRPr="009E7A22" w:rsidRDefault="009E7A22" w:rsidP="009E7A22">
      <w:pPr>
        <w:jc w:val="center"/>
        <w:rPr>
          <w:rFonts w:ascii="Arial" w:hAnsi="Arial" w:cs="Arial"/>
          <w:b/>
          <w:sz w:val="28"/>
          <w:szCs w:val="28"/>
        </w:rPr>
      </w:pPr>
      <w:r w:rsidRPr="009E7A22">
        <w:rPr>
          <w:rFonts w:ascii="Arial" w:hAnsi="Arial" w:cs="Arial"/>
          <w:b/>
          <w:sz w:val="28"/>
          <w:szCs w:val="28"/>
        </w:rPr>
        <w:t>2014 A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sia</w:t>
      </w:r>
      <w:r w:rsidRPr="009E7A22">
        <w:rPr>
          <w:rFonts w:ascii="Arial" w:hAnsi="Arial" w:cs="Arial"/>
          <w:b/>
          <w:sz w:val="28"/>
          <w:szCs w:val="28"/>
        </w:rPr>
        <w:t>-P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acific</w:t>
      </w:r>
      <w:r w:rsidRPr="009E7A22">
        <w:rPr>
          <w:rFonts w:ascii="Arial" w:hAnsi="Arial" w:cs="Arial"/>
          <w:b/>
          <w:sz w:val="28"/>
          <w:szCs w:val="28"/>
        </w:rPr>
        <w:t xml:space="preserve"> S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tevie</w:t>
      </w:r>
      <w:r w:rsidRPr="009E7A22">
        <w:rPr>
          <w:rFonts w:ascii="Arial" w:hAnsi="Arial" w:cs="Arial"/>
          <w:b/>
          <w:sz w:val="28"/>
          <w:szCs w:val="28"/>
        </w:rPr>
        <w:t xml:space="preserve"> A</w:t>
      </w:r>
      <w:r w:rsidRPr="009E7A22">
        <w:rPr>
          <w:rFonts w:ascii="Arial" w:eastAsia="PMingLiU" w:hAnsi="Arial" w:cs="Arial"/>
          <w:b/>
          <w:sz w:val="28"/>
          <w:szCs w:val="28"/>
          <w:lang w:eastAsia="zh-HK"/>
        </w:rPr>
        <w:t>wards</w:t>
      </w:r>
    </w:p>
    <w:bookmarkEnd w:id="0"/>
    <w:p w:rsidR="009E7A22" w:rsidRPr="009E7A22" w:rsidRDefault="009E7A22" w:rsidP="009E7A22">
      <w:pPr>
        <w:rPr>
          <w:rFonts w:ascii="Arial" w:hAnsi="Arial" w:cs="Arial"/>
          <w:lang w:eastAsia="zh-CN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Style w:val="bold"/>
        </w:rPr>
        <w:t>HKT (SEHK: 6823)</w:t>
      </w:r>
      <w:r w:rsidRPr="009E7A22">
        <w:rPr>
          <w:rStyle w:val="bold"/>
          <w:rFonts w:eastAsia="PMingLiU"/>
          <w:lang w:eastAsia="zh-HK"/>
        </w:rPr>
        <w:t xml:space="preserve"> - </w:t>
      </w:r>
      <w:r w:rsidRPr="009E7A22">
        <w:rPr>
          <w:rStyle w:val="TextEngbold"/>
          <w:rFonts w:cs="Arial"/>
          <w:spacing w:val="-2"/>
        </w:rPr>
        <w:t>HONG KONG / MANILA, PHILIPPINES</w:t>
      </w:r>
      <w:r w:rsidRPr="009E7A22">
        <w:rPr>
          <w:rFonts w:ascii="Arial" w:hAnsi="Arial" w:cs="Arial"/>
          <w:b/>
        </w:rPr>
        <w:t xml:space="preserve">, </w:t>
      </w:r>
      <w:r w:rsidRPr="009E7A22">
        <w:rPr>
          <w:rFonts w:ascii="Arial" w:hAnsi="Arial" w:cs="Arial"/>
          <w:b/>
          <w:lang w:eastAsia="zh-CN"/>
        </w:rPr>
        <w:t>May</w:t>
      </w:r>
      <w:r w:rsidRPr="009E7A22">
        <w:rPr>
          <w:rFonts w:ascii="Arial" w:hAnsi="Arial" w:cs="Arial"/>
          <w:b/>
        </w:rPr>
        <w:t xml:space="preserve"> </w:t>
      </w:r>
      <w:r w:rsidRPr="009E7A22">
        <w:rPr>
          <w:rFonts w:ascii="Arial" w:eastAsia="PMingLiU" w:hAnsi="Arial" w:cs="Arial"/>
          <w:b/>
          <w:lang w:eastAsia="zh-HK"/>
        </w:rPr>
        <w:t>7</w:t>
      </w:r>
      <w:r w:rsidRPr="009E7A22">
        <w:rPr>
          <w:rFonts w:ascii="Arial" w:hAnsi="Arial" w:cs="Arial"/>
          <w:b/>
        </w:rPr>
        <w:t>, 201</w:t>
      </w:r>
      <w:r w:rsidRPr="009E7A22">
        <w:rPr>
          <w:rFonts w:ascii="Arial" w:hAnsi="Arial" w:cs="Arial"/>
          <w:b/>
          <w:lang w:eastAsia="zh-CN"/>
        </w:rPr>
        <w:t>4</w:t>
      </w:r>
      <w:r w:rsidRPr="009E7A22">
        <w:rPr>
          <w:rFonts w:ascii="Arial" w:hAnsi="Arial" w:cs="Arial"/>
        </w:rPr>
        <w:t xml:space="preserve"> –</w:t>
      </w:r>
      <w:r w:rsidRPr="009E7A22">
        <w:rPr>
          <w:rFonts w:ascii="Arial" w:hAnsi="Arial" w:cs="Arial"/>
          <w:lang w:eastAsia="zh-CN"/>
        </w:rPr>
        <w:t xml:space="preserve"> </w:t>
      </w:r>
      <w:r w:rsidRPr="009E7A22">
        <w:rPr>
          <w:rFonts w:ascii="Arial" w:hAnsi="Arial" w:cs="Arial"/>
        </w:rPr>
        <w:t>PCCW Teleservices, a HKT subsidiary and premier provider of global outsourcing solutions,</w:t>
      </w:r>
      <w:r w:rsidRPr="009E7A22" w:rsidDel="004D5074">
        <w:rPr>
          <w:rFonts w:ascii="Arial" w:hAnsi="Arial" w:cs="Arial"/>
        </w:rPr>
        <w:t xml:space="preserve"> </w:t>
      </w:r>
      <w:r w:rsidRPr="009E7A22">
        <w:rPr>
          <w:rFonts w:ascii="Arial" w:hAnsi="Arial" w:cs="Arial"/>
        </w:rPr>
        <w:t xml:space="preserve">has been granted </w:t>
      </w:r>
      <w:r w:rsidRPr="009E7A22">
        <w:rPr>
          <w:rFonts w:ascii="Arial" w:eastAsia="PMingLiU" w:hAnsi="Arial" w:cs="Arial"/>
          <w:lang w:eastAsia="zh-HK"/>
        </w:rPr>
        <w:t xml:space="preserve">the </w:t>
      </w:r>
      <w:r w:rsidRPr="009E7A22">
        <w:rPr>
          <w:rFonts w:ascii="Arial" w:hAnsi="Arial" w:cs="Arial"/>
        </w:rPr>
        <w:t xml:space="preserve">Silver </w:t>
      </w:r>
      <w:r w:rsidRPr="009E7A22">
        <w:rPr>
          <w:rFonts w:ascii="Arial" w:hAnsi="Arial" w:cs="Arial"/>
          <w:lang w:eastAsia="zh-CN"/>
        </w:rPr>
        <w:t xml:space="preserve">Stevie </w:t>
      </w:r>
      <w:r w:rsidRPr="009E7A22">
        <w:rPr>
          <w:rFonts w:ascii="Arial" w:hAnsi="Arial" w:cs="Arial"/>
        </w:rPr>
        <w:t xml:space="preserve">Award for New Consumer Service of the Year </w:t>
      </w:r>
      <w:r w:rsidRPr="009E7A22">
        <w:rPr>
          <w:rFonts w:ascii="Arial" w:eastAsia="PMingLiU" w:hAnsi="Arial" w:cs="Arial"/>
          <w:lang w:eastAsia="zh-HK"/>
        </w:rPr>
        <w:t xml:space="preserve">at the </w:t>
      </w:r>
      <w:r w:rsidRPr="009E7A22">
        <w:rPr>
          <w:rFonts w:ascii="Arial" w:hAnsi="Arial" w:cs="Arial"/>
        </w:rPr>
        <w:t>2014 Asia-Pacific Stevie Awards.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HK"/>
        </w:rPr>
      </w:pPr>
      <w:r w:rsidRPr="009E7A2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30480</wp:posOffset>
            </wp:positionV>
            <wp:extent cx="1352550" cy="2231390"/>
            <wp:effectExtent l="19050" t="0" r="0" b="0"/>
            <wp:wrapTight wrapText="bothSides">
              <wp:wrapPolygon edited="0">
                <wp:start x="-304" y="0"/>
                <wp:lineTo x="-304" y="21391"/>
                <wp:lineTo x="21600" y="21391"/>
                <wp:lineTo x="21600" y="0"/>
                <wp:lineTo x="-304" y="0"/>
              </wp:wrapPolygon>
            </wp:wrapTight>
            <wp:docPr id="4" name="Picture 2" descr="http://www.stevieawards.com/uploads/image/APSA14_Silver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evieawards.com/uploads/image/APSA14_Silver_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7A22">
        <w:rPr>
          <w:rFonts w:ascii="Arial" w:hAnsi="Arial" w:cs="Arial"/>
        </w:rPr>
        <w:t xml:space="preserve">The Awards </w:t>
      </w:r>
      <w:r w:rsidRPr="009E7A22">
        <w:rPr>
          <w:rFonts w:ascii="Arial" w:eastAsia="PMingLiU" w:hAnsi="Arial" w:cs="Arial"/>
          <w:lang w:eastAsia="zh-HK"/>
        </w:rPr>
        <w:t xml:space="preserve">is </w:t>
      </w:r>
      <w:r w:rsidRPr="009E7A22">
        <w:rPr>
          <w:rFonts w:ascii="Arial" w:hAnsi="Arial" w:cs="Arial"/>
        </w:rPr>
        <w:t>the first business awards program to recognize achievement in business in all 22 nations of the Asia-Pacific reg</w:t>
      </w:r>
      <w:r w:rsidRPr="009E7A22">
        <w:rPr>
          <w:rFonts w:ascii="Arial" w:eastAsia="PMingLiU" w:hAnsi="Arial" w:cs="Arial"/>
          <w:lang w:eastAsia="zh-HK"/>
        </w:rPr>
        <w:t>ion. Nominations of more than 500 organizations were c</w:t>
      </w:r>
      <w:r w:rsidRPr="009E7A22">
        <w:rPr>
          <w:rFonts w:ascii="Arial" w:hAnsi="Arial" w:cs="Arial"/>
        </w:rPr>
        <w:t xml:space="preserve">onsidered </w:t>
      </w:r>
      <w:r w:rsidRPr="009E7A22">
        <w:rPr>
          <w:rFonts w:ascii="Arial" w:eastAsia="PMingLiU" w:hAnsi="Arial" w:cs="Arial"/>
          <w:lang w:eastAsia="zh-HK"/>
        </w:rPr>
        <w:t xml:space="preserve">for the awards </w:t>
      </w:r>
      <w:r w:rsidRPr="009E7A22">
        <w:rPr>
          <w:rFonts w:ascii="Arial" w:hAnsi="Arial" w:cs="Arial"/>
        </w:rPr>
        <w:t xml:space="preserve">this year in 18 categories. 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HK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HK"/>
        </w:rPr>
      </w:pPr>
      <w:r w:rsidRPr="009E7A22">
        <w:rPr>
          <w:rFonts w:ascii="Arial" w:eastAsia="PMingLiU" w:hAnsi="Arial" w:cs="Arial"/>
          <w:lang w:eastAsia="zh-HK"/>
        </w:rPr>
        <w:t xml:space="preserve">Members of the judging panel were impressed by </w:t>
      </w:r>
      <w:r w:rsidRPr="009E7A22">
        <w:rPr>
          <w:rFonts w:ascii="Arial" w:hAnsi="Arial" w:cs="Arial"/>
        </w:rPr>
        <w:t>PCCW Teleservices</w:t>
      </w:r>
      <w:r w:rsidRPr="009E7A22">
        <w:rPr>
          <w:rFonts w:ascii="Arial" w:eastAsia="PMingLiU" w:hAnsi="Arial" w:cs="Arial"/>
          <w:lang w:eastAsia="zh-HK"/>
        </w:rPr>
        <w:t xml:space="preserve">’ outstanding performance in delivering and managing the </w:t>
      </w:r>
      <w:r w:rsidRPr="009E7A22">
        <w:rPr>
          <w:rFonts w:ascii="Arial" w:hAnsi="Arial" w:cs="Arial"/>
        </w:rPr>
        <w:t>social media strateg</w:t>
      </w:r>
      <w:r w:rsidRPr="009E7A22">
        <w:rPr>
          <w:rFonts w:ascii="Arial" w:eastAsia="PMingLiU" w:hAnsi="Arial" w:cs="Arial"/>
          <w:lang w:eastAsia="zh-HK"/>
        </w:rPr>
        <w:t>ies</w:t>
      </w:r>
      <w:r w:rsidRPr="009E7A22">
        <w:rPr>
          <w:rFonts w:ascii="Arial" w:hAnsi="Arial" w:cs="Arial"/>
        </w:rPr>
        <w:t xml:space="preserve"> of its clients.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color w:val="FF0000"/>
        </w:rPr>
      </w:pPr>
      <w:r w:rsidRPr="009E7A22">
        <w:rPr>
          <w:rFonts w:ascii="Arial" w:eastAsia="PMingLiU" w:hAnsi="Arial" w:cs="Arial"/>
          <w:lang w:eastAsia="zh-HK"/>
        </w:rPr>
        <w:t xml:space="preserve">Mr. </w:t>
      </w:r>
      <w:r w:rsidRPr="009E7A22">
        <w:rPr>
          <w:rFonts w:ascii="Arial" w:hAnsi="Arial" w:cs="Arial"/>
        </w:rPr>
        <w:t>Tony Bruno, Head of PCCW Teleservices International</w:t>
      </w:r>
      <w:r w:rsidRPr="009E7A22">
        <w:rPr>
          <w:rFonts w:ascii="Arial" w:eastAsia="PMingLiU" w:hAnsi="Arial" w:cs="Arial"/>
          <w:lang w:eastAsia="zh-HK"/>
        </w:rPr>
        <w:t>, said</w:t>
      </w:r>
      <w:r w:rsidRPr="009E7A22">
        <w:rPr>
          <w:rFonts w:ascii="Arial" w:hAnsi="Arial" w:cs="Arial"/>
        </w:rPr>
        <w:t>, “We are honored to be recognized for outstanding achievement for our initiatives in launching and supporting our clients</w:t>
      </w:r>
      <w:r w:rsidRPr="009E7A22">
        <w:rPr>
          <w:rFonts w:ascii="Arial" w:eastAsia="PMingLiU" w:hAnsi="Arial" w:cs="Arial"/>
          <w:lang w:eastAsia="zh-HK"/>
        </w:rPr>
        <w:t xml:space="preserve">’ </w:t>
      </w:r>
      <w:r w:rsidRPr="009E7A22">
        <w:rPr>
          <w:rFonts w:ascii="Arial" w:hAnsi="Arial" w:cs="Arial"/>
        </w:rPr>
        <w:t xml:space="preserve">social </w:t>
      </w:r>
      <w:r w:rsidRPr="009E7A22">
        <w:rPr>
          <w:rFonts w:ascii="Arial" w:eastAsia="PMingLiU" w:hAnsi="Arial" w:cs="Arial"/>
          <w:lang w:eastAsia="zh-HK"/>
        </w:rPr>
        <w:t>m</w:t>
      </w:r>
      <w:r w:rsidRPr="009E7A22">
        <w:rPr>
          <w:rFonts w:ascii="Arial" w:hAnsi="Arial" w:cs="Arial"/>
        </w:rPr>
        <w:t xml:space="preserve">edia </w:t>
      </w:r>
      <w:r w:rsidRPr="009E7A22">
        <w:rPr>
          <w:rFonts w:ascii="Arial" w:eastAsia="PMingLiU" w:hAnsi="Arial" w:cs="Arial"/>
          <w:lang w:eastAsia="zh-HK"/>
        </w:rPr>
        <w:t>s</w:t>
      </w:r>
      <w:r w:rsidRPr="009E7A22">
        <w:rPr>
          <w:rFonts w:ascii="Arial" w:hAnsi="Arial" w:cs="Arial"/>
        </w:rPr>
        <w:t>trategies.</w:t>
      </w:r>
      <w:r w:rsidRPr="009E7A22">
        <w:rPr>
          <w:rFonts w:ascii="Arial" w:eastAsia="PMingLiU" w:hAnsi="Arial" w:cs="Arial"/>
          <w:lang w:eastAsia="zh-HK"/>
        </w:rPr>
        <w:t xml:space="preserve"> We look forward to serving our customers via the new media and social network platforms.</w:t>
      </w:r>
      <w:r w:rsidRPr="009E7A22">
        <w:rPr>
          <w:rFonts w:ascii="Arial" w:hAnsi="Arial" w:cs="Arial"/>
        </w:rPr>
        <w:t>”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color w:val="FF0000"/>
        </w:rPr>
      </w:pPr>
      <w:r w:rsidRPr="009E7A22">
        <w:rPr>
          <w:rFonts w:ascii="Arial" w:eastAsia="PMingLiU" w:hAnsi="Arial" w:cs="Arial"/>
          <w:lang w:eastAsia="zh-HK"/>
        </w:rPr>
        <w:t xml:space="preserve">Mr. </w:t>
      </w:r>
      <w:r w:rsidRPr="009E7A22">
        <w:rPr>
          <w:rFonts w:ascii="Arial" w:hAnsi="Arial" w:cs="Arial"/>
        </w:rPr>
        <w:t>Michael Gallagher</w:t>
      </w:r>
      <w:r w:rsidRPr="009E7A22">
        <w:rPr>
          <w:rFonts w:ascii="Arial" w:eastAsia="PMingLiU" w:hAnsi="Arial" w:cs="Arial"/>
          <w:lang w:eastAsia="zh-HK"/>
        </w:rPr>
        <w:t>, P</w:t>
      </w:r>
      <w:r w:rsidRPr="009E7A22">
        <w:rPr>
          <w:rFonts w:ascii="Arial" w:hAnsi="Arial" w:cs="Arial"/>
        </w:rPr>
        <w:t xml:space="preserve">resident and </w:t>
      </w:r>
      <w:r w:rsidRPr="009E7A22">
        <w:rPr>
          <w:rFonts w:ascii="Arial" w:eastAsia="PMingLiU" w:hAnsi="Arial" w:cs="Arial"/>
          <w:lang w:eastAsia="zh-HK"/>
        </w:rPr>
        <w:t>F</w:t>
      </w:r>
      <w:r w:rsidRPr="009E7A22">
        <w:rPr>
          <w:rFonts w:ascii="Arial" w:hAnsi="Arial" w:cs="Arial"/>
        </w:rPr>
        <w:t>ounder of the Stevie Awards</w:t>
      </w:r>
      <w:r w:rsidRPr="009E7A22">
        <w:rPr>
          <w:rFonts w:ascii="Arial" w:eastAsia="PMingLiU" w:hAnsi="Arial" w:cs="Arial"/>
          <w:lang w:eastAsia="zh-HK"/>
        </w:rPr>
        <w:t>, said,</w:t>
      </w:r>
      <w:r w:rsidRPr="009E7A22">
        <w:rPr>
          <w:rFonts w:ascii="Arial" w:hAnsi="Arial" w:cs="Arial"/>
        </w:rPr>
        <w:t xml:space="preserve"> “We are delighted that the Asia-Pacific Stevie Awards have debuted with such a stellar group of winners</w:t>
      </w:r>
      <w:r w:rsidRPr="009E7A22">
        <w:rPr>
          <w:rFonts w:ascii="Arial" w:eastAsia="PMingLiU" w:hAnsi="Arial" w:cs="Arial"/>
          <w:lang w:eastAsia="zh-HK"/>
        </w:rPr>
        <w:t>.</w:t>
      </w:r>
      <w:r w:rsidRPr="009E7A22">
        <w:rPr>
          <w:rFonts w:ascii="Arial" w:hAnsi="Arial" w:cs="Arial"/>
        </w:rPr>
        <w:t>”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9E7A22" w:rsidRPr="009E7A22" w:rsidRDefault="009E7A22" w:rsidP="009E7A22">
      <w:pPr>
        <w:spacing w:line="280" w:lineRule="exact"/>
        <w:jc w:val="center"/>
        <w:rPr>
          <w:rFonts w:ascii="Arial" w:hAnsi="Arial" w:cs="Arial"/>
          <w:szCs w:val="20"/>
        </w:rPr>
      </w:pPr>
      <w:r w:rsidRPr="009E7A22">
        <w:rPr>
          <w:rFonts w:ascii="Arial" w:hAnsi="Arial" w:cs="Arial"/>
          <w:szCs w:val="20"/>
        </w:rPr>
        <w:t>- # -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b/>
        </w:rPr>
      </w:pPr>
      <w:r w:rsidRPr="009E7A22">
        <w:rPr>
          <w:rFonts w:ascii="Arial" w:hAnsi="Arial" w:cs="Arial"/>
          <w:b/>
        </w:rPr>
        <w:t>About PCCW Teleservices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PCCW Teleservices is an operating subsidiary of HKT, Hong Kong’s premier telecommunications service provider which is majority-owned by PCCW Limited.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PCCW Teleservices offers clients world-class global contact center and BPO services in all facets of voice and non-voice customer services, technical support, sales, retention, and other business processes. Operating a global network of multi-channel contact centers, PCCW Teleservices provides support in languages covering over half of the world’s population.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lang w:eastAsia="zh-CN"/>
        </w:rPr>
      </w:pPr>
      <w:r w:rsidRPr="009E7A22">
        <w:rPr>
          <w:rFonts w:ascii="Arial" w:hAnsi="Arial" w:cs="Arial"/>
        </w:rPr>
        <w:t>PCCW Teleservices is consistently ranked among the world’s leading contact center service providers. With over 10,000 agent positions in Hong Kong, mainland China, the Philippines</w:t>
      </w:r>
      <w:r w:rsidRPr="009E7A22">
        <w:rPr>
          <w:rFonts w:ascii="Arial" w:hAnsi="Arial" w:cs="Arial"/>
          <w:lang w:eastAsia="zh-CN"/>
        </w:rPr>
        <w:t xml:space="preserve">, </w:t>
      </w:r>
      <w:r w:rsidRPr="009E7A22">
        <w:rPr>
          <w:rFonts w:ascii="Arial" w:hAnsi="Arial" w:cs="Arial"/>
        </w:rPr>
        <w:t>the United States, Panama</w:t>
      </w:r>
      <w:r w:rsidRPr="009E7A22">
        <w:rPr>
          <w:rFonts w:ascii="Arial" w:hAnsi="Arial" w:cs="Arial"/>
          <w:lang w:eastAsia="zh-CN"/>
        </w:rPr>
        <w:t xml:space="preserve"> and UK</w:t>
      </w:r>
      <w:r w:rsidRPr="009E7A22">
        <w:rPr>
          <w:rFonts w:ascii="Arial" w:hAnsi="Arial" w:cs="Arial"/>
        </w:rPr>
        <w:t xml:space="preserve">, PCCW Teleservices provides local and multinational companies a wide array of skills to service more than 90 million customer contacts annually. To learn more, please visit www.pccwteleservices.com, or call us at </w:t>
      </w:r>
      <w:r w:rsidRPr="009E7A22">
        <w:rPr>
          <w:rFonts w:ascii="Arial" w:hAnsi="Arial" w:cs="Arial"/>
        </w:rPr>
        <w:lastRenderedPageBreak/>
        <w:t>+852-2888-3636 (Hong Kong) / +86-4008-812-812 (mainland China) / +1-614-280-1600 (the Americas).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b/>
          <w:lang w:eastAsia="zh-CN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b/>
          <w:bCs/>
          <w:lang w:eastAsia="zh-CN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b/>
          <w:bCs/>
          <w:lang w:eastAsia="zh-TW"/>
        </w:rPr>
        <w:t>About HKT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lang w:eastAsia="zh-TW"/>
        </w:rPr>
        <w:t> 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lang w:eastAsia="zh-TW"/>
        </w:rPr>
        <w:t>HKT (SEHK: 6823) is Hong Kong's premier telecommunications service provider. It meets the needs of the Hong Kong public and local and international businesses with a wide range of services including local telephony, local data and broadband, international telecommunications, mobile, and other telecommunications businesses such as customer premises equipment sale, outsourcing, consulting, and contact centers.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lang w:eastAsia="zh-TW"/>
        </w:rPr>
        <w:t> 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lang w:eastAsia="zh-TW"/>
        </w:rPr>
        <w:t>Together with the highly successful media business of its parent company, PCCW Limited, HKT offers innovative media content and services across the PCCW Group's unique quadruple-play platforms – fixed-line, broadband Internet access, TV and mobile.</w:t>
      </w:r>
    </w:p>
    <w:p w:rsidR="009E7A22" w:rsidRPr="009E7A22" w:rsidRDefault="009E7A22" w:rsidP="009E7A22">
      <w:pPr>
        <w:spacing w:line="280" w:lineRule="exact"/>
        <w:jc w:val="both"/>
        <w:rPr>
          <w:rFonts w:ascii="Arial" w:eastAsia="PMingLiU" w:hAnsi="Arial" w:cs="Arial"/>
          <w:lang w:eastAsia="zh-TW"/>
        </w:rPr>
      </w:pPr>
      <w:r w:rsidRPr="009E7A22">
        <w:rPr>
          <w:rFonts w:ascii="Arial" w:eastAsia="PMingLiU" w:hAnsi="Arial" w:cs="Arial"/>
          <w:lang w:eastAsia="zh-TW"/>
        </w:rPr>
        <w:t> 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lang w:eastAsia="zh-HK"/>
        </w:rPr>
      </w:pPr>
    </w:p>
    <w:p w:rsidR="009E7A22" w:rsidRPr="009E7A22" w:rsidRDefault="009E7A22" w:rsidP="009E7A22">
      <w:pPr>
        <w:spacing w:line="280" w:lineRule="exact"/>
        <w:jc w:val="both"/>
        <w:rPr>
          <w:rStyle w:val="bold"/>
          <w:lang w:eastAsia="zh-CN"/>
        </w:rPr>
      </w:pPr>
      <w:r w:rsidRPr="009E7A22">
        <w:rPr>
          <w:rStyle w:val="bold"/>
        </w:rPr>
        <w:t>For more information, please contact:</w:t>
      </w:r>
    </w:p>
    <w:p w:rsidR="009E7A22" w:rsidRPr="009E7A22" w:rsidRDefault="009E7A22" w:rsidP="009E7A22">
      <w:pPr>
        <w:spacing w:line="280" w:lineRule="exact"/>
        <w:jc w:val="both"/>
        <w:rPr>
          <w:rStyle w:val="bold"/>
          <w:lang w:eastAsia="zh-CN"/>
        </w:rPr>
      </w:pP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Keyur Trivedi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b/>
          <w:lang w:eastAsia="zh-CN"/>
        </w:rPr>
      </w:pPr>
      <w:r w:rsidRPr="009E7A22">
        <w:rPr>
          <w:rFonts w:ascii="Arial" w:hAnsi="Arial" w:cs="Arial"/>
        </w:rPr>
        <w:t xml:space="preserve">Business </w:t>
      </w:r>
      <w:r w:rsidRPr="009E7A22">
        <w:rPr>
          <w:rFonts w:ascii="Arial" w:hAnsi="Arial" w:cs="Arial"/>
          <w:lang w:eastAsia="zh-CN"/>
        </w:rPr>
        <w:t>Intelligence</w:t>
      </w:r>
      <w:r w:rsidRPr="009E7A22">
        <w:rPr>
          <w:rFonts w:ascii="Arial" w:hAnsi="Arial" w:cs="Arial"/>
        </w:rPr>
        <w:t xml:space="preserve"> Director</w:t>
      </w:r>
      <w:r w:rsidRPr="009E7A22">
        <w:rPr>
          <w:rFonts w:ascii="Arial" w:hAnsi="Arial" w:cs="Arial"/>
          <w:b/>
        </w:rPr>
        <w:t xml:space="preserve"> 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  <w:b/>
        </w:rPr>
      </w:pPr>
      <w:proofErr w:type="gramStart"/>
      <w:r w:rsidRPr="009E7A22">
        <w:rPr>
          <w:rFonts w:ascii="Arial" w:hAnsi="Arial" w:cs="Arial"/>
          <w:b/>
        </w:rPr>
        <w:t>PCCW Teleservices (Philippines), Inc.</w:t>
      </w:r>
      <w:proofErr w:type="gramEnd"/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17</w:t>
      </w:r>
      <w:r w:rsidRPr="009E7A22">
        <w:rPr>
          <w:rFonts w:ascii="Arial" w:eastAsia="PMingLiU" w:hAnsi="Arial" w:cs="Arial"/>
          <w:lang w:eastAsia="zh-HK"/>
        </w:rPr>
        <w:t>/F</w:t>
      </w:r>
      <w:r w:rsidRPr="009E7A22">
        <w:rPr>
          <w:rFonts w:ascii="Arial" w:hAnsi="Arial" w:cs="Arial"/>
        </w:rPr>
        <w:t>, Union Bank Plaza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proofErr w:type="spellStart"/>
      <w:r w:rsidRPr="009E7A22">
        <w:rPr>
          <w:rFonts w:ascii="Arial" w:hAnsi="Arial" w:cs="Arial"/>
        </w:rPr>
        <w:t>Meralco</w:t>
      </w:r>
      <w:proofErr w:type="spellEnd"/>
      <w:r w:rsidRPr="009E7A22">
        <w:rPr>
          <w:rFonts w:ascii="Arial" w:hAnsi="Arial" w:cs="Arial"/>
        </w:rPr>
        <w:t xml:space="preserve"> Avenue corner Onyx St. </w:t>
      </w:r>
      <w:proofErr w:type="spellStart"/>
      <w:r w:rsidRPr="009E7A22">
        <w:rPr>
          <w:rFonts w:ascii="Arial" w:hAnsi="Arial" w:cs="Arial"/>
        </w:rPr>
        <w:t>Ortigas</w:t>
      </w:r>
      <w:proofErr w:type="spellEnd"/>
      <w:r w:rsidRPr="009E7A22">
        <w:rPr>
          <w:rFonts w:ascii="Arial" w:hAnsi="Arial" w:cs="Arial"/>
        </w:rPr>
        <w:t xml:space="preserve"> Center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Pasig City, Philippines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Tel:</w:t>
      </w:r>
      <w:r w:rsidRPr="009E7A22">
        <w:rPr>
          <w:rFonts w:ascii="Arial" w:hAnsi="Arial" w:cs="Arial"/>
          <w:lang w:eastAsia="zh-CN"/>
        </w:rPr>
        <w:t xml:space="preserve"> </w:t>
      </w:r>
      <w:r w:rsidRPr="009E7A22">
        <w:rPr>
          <w:rFonts w:ascii="Arial" w:hAnsi="Arial" w:cs="Arial"/>
        </w:rPr>
        <w:t>+63 6202100 loc 62965</w:t>
      </w:r>
    </w:p>
    <w:p w:rsidR="009E7A22" w:rsidRPr="009E7A22" w:rsidRDefault="009E7A22" w:rsidP="009E7A22">
      <w:pPr>
        <w:spacing w:line="280" w:lineRule="exact"/>
        <w:jc w:val="both"/>
        <w:rPr>
          <w:rFonts w:ascii="Arial" w:hAnsi="Arial" w:cs="Arial"/>
        </w:rPr>
      </w:pPr>
      <w:r w:rsidRPr="009E7A22">
        <w:rPr>
          <w:rFonts w:ascii="Arial" w:hAnsi="Arial" w:cs="Arial"/>
        </w:rPr>
        <w:t>Mobile:</w:t>
      </w:r>
      <w:r w:rsidRPr="009E7A22">
        <w:rPr>
          <w:rFonts w:ascii="Arial" w:hAnsi="Arial" w:cs="Arial"/>
          <w:lang w:eastAsia="zh-CN"/>
        </w:rPr>
        <w:t xml:space="preserve"> </w:t>
      </w:r>
      <w:r w:rsidRPr="009E7A22">
        <w:rPr>
          <w:rFonts w:ascii="Arial" w:hAnsi="Arial" w:cs="Arial"/>
        </w:rPr>
        <w:t>+639178353987</w:t>
      </w:r>
    </w:p>
    <w:p w:rsidR="000C0D2C" w:rsidRPr="009E7A22" w:rsidRDefault="009E7A22" w:rsidP="009E7A22">
      <w:pPr>
        <w:spacing w:line="280" w:lineRule="exact"/>
        <w:jc w:val="both"/>
        <w:rPr>
          <w:rFonts w:ascii="Arial" w:eastAsia="SimSun" w:hAnsi="Arial" w:cs="Arial"/>
          <w:lang w:eastAsia="zh-CN"/>
        </w:rPr>
      </w:pPr>
      <w:r w:rsidRPr="009E7A22">
        <w:rPr>
          <w:rFonts w:ascii="Arial" w:hAnsi="Arial" w:cs="Arial"/>
        </w:rPr>
        <w:t>Email:</w:t>
      </w:r>
      <w:r w:rsidRPr="009E7A22">
        <w:rPr>
          <w:rFonts w:ascii="Arial" w:hAnsi="Arial" w:cs="Arial"/>
          <w:lang w:eastAsia="zh-CN"/>
        </w:rPr>
        <w:t xml:space="preserve"> </w:t>
      </w:r>
      <w:hyperlink r:id="rId8" w:history="1">
        <w:r w:rsidRPr="009E7A22">
          <w:rPr>
            <w:rStyle w:val="Hyperlink"/>
            <w:rFonts w:ascii="Arial" w:hAnsi="Arial" w:cs="Arial"/>
          </w:rPr>
          <w:t>keyur.trivedi@pccwteleservices.com.ph</w:t>
        </w:r>
      </w:hyperlink>
    </w:p>
    <w:sectPr w:rsidR="000C0D2C" w:rsidRPr="009E7A22" w:rsidSect="00F54D62">
      <w:headerReference w:type="default" r:id="rId9"/>
      <w:footerReference w:type="default" r:id="rId10"/>
      <w:pgSz w:w="11900" w:h="16840"/>
      <w:pgMar w:top="1814" w:right="964" w:bottom="2127" w:left="1174" w:header="720" w:footer="1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C2" w:rsidRDefault="003246C2" w:rsidP="0066112D">
      <w:r>
        <w:separator/>
      </w:r>
    </w:p>
  </w:endnote>
  <w:endnote w:type="continuationSeparator" w:id="0">
    <w:p w:rsidR="003246C2" w:rsidRDefault="003246C2" w:rsidP="0066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2C" w:rsidRDefault="002406BD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4369435</wp:posOffset>
          </wp:positionH>
          <wp:positionV relativeFrom="paragraph">
            <wp:posOffset>497205</wp:posOffset>
          </wp:positionV>
          <wp:extent cx="1834515" cy="152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15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B2025E">
      <w:rPr>
        <w:noProof/>
      </w:rPr>
      <w:drawing>
        <wp:anchor distT="0" distB="0" distL="114300" distR="114300" simplePos="0" relativeHeight="251657214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219786</wp:posOffset>
          </wp:positionV>
          <wp:extent cx="2490216" cy="518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216" cy="518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C2" w:rsidRDefault="003246C2" w:rsidP="0066112D">
      <w:r>
        <w:separator/>
      </w:r>
    </w:p>
  </w:footnote>
  <w:footnote w:type="continuationSeparator" w:id="0">
    <w:p w:rsidR="003246C2" w:rsidRDefault="003246C2" w:rsidP="00661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2C" w:rsidRPr="0066112D" w:rsidRDefault="00400B21" w:rsidP="0066112D">
    <w:pPr>
      <w:pStyle w:val="Header"/>
    </w:pPr>
    <w:r>
      <w:rPr>
        <w:noProof/>
      </w:rPr>
      <w:drawing>
        <wp:anchor distT="0" distB="0" distL="114300" distR="114300" simplePos="0" relativeHeight="2516551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70930</wp:posOffset>
          </wp:positionV>
          <wp:extent cx="2627376" cy="259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CW_Teleservice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376" cy="259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2D"/>
    <w:rsid w:val="000515CA"/>
    <w:rsid w:val="000C0D2C"/>
    <w:rsid w:val="00113C78"/>
    <w:rsid w:val="00167E07"/>
    <w:rsid w:val="002406BD"/>
    <w:rsid w:val="002B588D"/>
    <w:rsid w:val="003246C2"/>
    <w:rsid w:val="00400B21"/>
    <w:rsid w:val="00483902"/>
    <w:rsid w:val="005A1ADC"/>
    <w:rsid w:val="00652E80"/>
    <w:rsid w:val="0065419C"/>
    <w:rsid w:val="0066112D"/>
    <w:rsid w:val="006B3ACE"/>
    <w:rsid w:val="006D576D"/>
    <w:rsid w:val="008D292C"/>
    <w:rsid w:val="009E6A6C"/>
    <w:rsid w:val="009E7A22"/>
    <w:rsid w:val="00A42850"/>
    <w:rsid w:val="00AC27AD"/>
    <w:rsid w:val="00B2025E"/>
    <w:rsid w:val="00D94BD8"/>
    <w:rsid w:val="00E03DA7"/>
    <w:rsid w:val="00F165F1"/>
    <w:rsid w:val="00F252D5"/>
    <w:rsid w:val="00F54D62"/>
    <w:rsid w:val="00F7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58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1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12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11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2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9E7A22"/>
    <w:rPr>
      <w:rFonts w:cs="Times New Roman"/>
      <w:color w:val="0000FF"/>
      <w:u w:val="single"/>
    </w:rPr>
  </w:style>
  <w:style w:type="character" w:customStyle="1" w:styleId="bold">
    <w:name w:val="內文 (bold)"/>
    <w:basedOn w:val="DefaultParagraphFont"/>
    <w:uiPriority w:val="99"/>
    <w:rsid w:val="009E7A22"/>
    <w:rPr>
      <w:rFonts w:ascii="Arial" w:hAnsi="Arial" w:cs="Arial"/>
      <w:b/>
      <w:spacing w:val="0"/>
      <w:sz w:val="24"/>
    </w:rPr>
  </w:style>
  <w:style w:type="character" w:customStyle="1" w:styleId="TextEngbold">
    <w:name w:val="Text (Eng bold)"/>
    <w:uiPriority w:val="99"/>
    <w:rsid w:val="009E7A22"/>
    <w:rPr>
      <w:rFonts w:ascii="Arial" w:hAnsi="Arial"/>
      <w:b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58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1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12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11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2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9E7A22"/>
    <w:rPr>
      <w:rFonts w:cs="Times New Roman"/>
      <w:color w:val="0000FF"/>
      <w:u w:val="single"/>
    </w:rPr>
  </w:style>
  <w:style w:type="character" w:customStyle="1" w:styleId="bold">
    <w:name w:val="內文 (bold)"/>
    <w:basedOn w:val="DefaultParagraphFont"/>
    <w:uiPriority w:val="99"/>
    <w:rsid w:val="009E7A22"/>
    <w:rPr>
      <w:rFonts w:ascii="Arial" w:hAnsi="Arial" w:cs="Arial"/>
      <w:b/>
      <w:spacing w:val="0"/>
      <w:sz w:val="24"/>
    </w:rPr>
  </w:style>
  <w:style w:type="character" w:customStyle="1" w:styleId="TextEngbold">
    <w:name w:val="Text (Eng bold)"/>
    <w:uiPriority w:val="99"/>
    <w:rsid w:val="009E7A22"/>
    <w:rPr>
      <w:rFonts w:ascii="Arial" w:hAnsi="Arial"/>
      <w:b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ur.trivedi@pccwteleservices.com.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Testing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Chris Viertlboeck</cp:lastModifiedBy>
  <cp:revision>2</cp:revision>
  <cp:lastPrinted>2014-05-08T17:46:00Z</cp:lastPrinted>
  <dcterms:created xsi:type="dcterms:W3CDTF">2014-05-08T17:56:00Z</dcterms:created>
  <dcterms:modified xsi:type="dcterms:W3CDTF">2014-05-08T17:56:00Z</dcterms:modified>
</cp:coreProperties>
</file>