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12DC" w14:textId="77777777" w:rsidR="001C2EA0" w:rsidRPr="00CC349C" w:rsidRDefault="001C2EA0" w:rsidP="001C2E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CC349C">
        <w:rPr>
          <w:rFonts w:ascii="Times New Roman" w:eastAsia="Times New Roman" w:hAnsi="Times New Roman" w:cs="Times New Roman"/>
          <w:b/>
          <w:bCs/>
          <w:sz w:val="20"/>
          <w:szCs w:val="20"/>
        </w:rPr>
        <w:t>CTD HOLDINGS, INC.</w:t>
      </w:r>
    </w:p>
    <w:p w14:paraId="3DFB3300" w14:textId="77777777" w:rsidR="001C2EA0" w:rsidRPr="00CC349C" w:rsidRDefault="001C2EA0" w:rsidP="001C2E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b/>
          <w:bCs/>
          <w:sz w:val="20"/>
          <w:szCs w:val="20"/>
        </w:rPr>
        <w:t>CONSOLIDATED BALANCE SHEETS</w:t>
      </w:r>
    </w:p>
    <w:p w14:paraId="68E05FDD" w14:textId="77777777" w:rsidR="001C2EA0" w:rsidRPr="00CC349C" w:rsidRDefault="001C2EA0" w:rsidP="001C2E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b/>
          <w:bCs/>
          <w:sz w:val="20"/>
          <w:szCs w:val="20"/>
        </w:rPr>
        <w:t>(Unaudited)</w:t>
      </w:r>
    </w:p>
    <w:p w14:paraId="02CA8B76" w14:textId="77777777" w:rsidR="001C2EA0" w:rsidRPr="00CC349C" w:rsidRDefault="001C2EA0" w:rsidP="001C2E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2"/>
        <w:gridCol w:w="50"/>
        <w:gridCol w:w="100"/>
        <w:gridCol w:w="867"/>
        <w:gridCol w:w="67"/>
        <w:gridCol w:w="50"/>
        <w:gridCol w:w="100"/>
        <w:gridCol w:w="867"/>
        <w:gridCol w:w="67"/>
      </w:tblGrid>
      <w:tr w:rsidR="001C2EA0" w:rsidRPr="00CC349C" w14:paraId="356989A5" w14:textId="77777777" w:rsidTr="001C2EA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54F01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</w:tcBorders>
            <w:vAlign w:val="bottom"/>
            <w:hideMark/>
          </w:tcPr>
          <w:p w14:paraId="688C052A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March 31,</w:t>
            </w:r>
          </w:p>
          <w:p w14:paraId="5EAF066E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B96928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</w:tcBorders>
            <w:vAlign w:val="bottom"/>
            <w:hideMark/>
          </w:tcPr>
          <w:p w14:paraId="5A8167AA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December 31,</w:t>
            </w:r>
          </w:p>
          <w:p w14:paraId="3172DE5E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EC98E6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0684FD25" w14:textId="77777777" w:rsidTr="001C2EA0">
        <w:trPr>
          <w:tblCellSpacing w:w="0" w:type="dxa"/>
        </w:trPr>
        <w:tc>
          <w:tcPr>
            <w:tcW w:w="0" w:type="auto"/>
            <w:vAlign w:val="bottom"/>
            <w:hideMark/>
          </w:tcPr>
          <w:p w14:paraId="2CD2529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1BB62D1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36EB94F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06BF36A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70A16E5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7C1354E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0CADE70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571DCF8" w14:textId="77777777" w:rsidTr="001C2EA0">
        <w:trPr>
          <w:tblCellSpacing w:w="0" w:type="dxa"/>
        </w:trPr>
        <w:tc>
          <w:tcPr>
            <w:tcW w:w="0" w:type="auto"/>
            <w:gridSpan w:val="9"/>
            <w:vAlign w:val="bottom"/>
            <w:hideMark/>
          </w:tcPr>
          <w:p w14:paraId="36F022BF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ASSETS</w:t>
            </w:r>
          </w:p>
        </w:tc>
      </w:tr>
      <w:tr w:rsidR="001C2EA0" w:rsidRPr="00CC349C" w14:paraId="31968087" w14:textId="77777777" w:rsidTr="001C2EA0">
        <w:trPr>
          <w:tblCellSpacing w:w="0" w:type="dxa"/>
        </w:trPr>
        <w:tc>
          <w:tcPr>
            <w:tcW w:w="0" w:type="auto"/>
            <w:vAlign w:val="bottom"/>
            <w:hideMark/>
          </w:tcPr>
          <w:p w14:paraId="6C36D8E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CURRENT ASSETS</w:t>
            </w:r>
          </w:p>
        </w:tc>
        <w:tc>
          <w:tcPr>
            <w:tcW w:w="0" w:type="auto"/>
            <w:vAlign w:val="bottom"/>
            <w:hideMark/>
          </w:tcPr>
          <w:p w14:paraId="0F2CFD3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4BFA662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602E54E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6C7B7D6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5887AD3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680C0E8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6A83771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75CD7DF3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Cash and cash equivalents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765DB5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99CB9C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C8FD5F8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872,504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5105A4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F64C8D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87A830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5F026F8C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268,516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B7E484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0C9E899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6E63CDED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Accounts receivable, net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5E0022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DC01C3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4E082A39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60,198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A48B36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218844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197D1F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785FBF3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99,282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C374E7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62C76DE3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1CED065B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Inventory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C19A38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EA457E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51CD002D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259,997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08C8E3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B38EC4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1CE771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68BC099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241,005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0C7F9D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BE5D489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7CF88B1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Other current assets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FBB9F0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BCFC5C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5CE22F2A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33,212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3844F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5BB528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3E5932D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7F007EB4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10,056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109B15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2209ED4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B177BDD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Total current assets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EF79CF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4C4C59E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282123DF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1,225,911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69E3A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B4F35A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58C9A25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4A664584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618,859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085A53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E644D44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2879EF0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8D49CD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F92ADA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791C40D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BF1921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D7F39F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4E004A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012097C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A6A62F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6107B5F9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8F5085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PROPERTY AND EQUIPMENT, NET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B4DB4E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4F216D0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505FF24B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1,648,617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BDEF7C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3D50AB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1F085AB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1E8C97E4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1,627,254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2ABB9E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08A1102A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7FDCF03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9F94BB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BDBB45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46A1E17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B53821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DB2DA3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1694CD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2FB6839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7E21DE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4891119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25F5E36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 ASSETS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522304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BA2D44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60B79D3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F17EC0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3C68B3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2D8236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38D2555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820FCA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46C934A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3961A6C0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Property held for sale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246F63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7601CA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2D3824EF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DEDBEB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4BB314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C5F2C3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0A311520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80434D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624C1DCA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045B8701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Deferred tax asset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656F46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0EBC2E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3F9FFDF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65,000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7DDD5F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4669FF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01410A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5CD0113D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120,000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53235F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AF2FE3A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D1FB3EA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Deferred costs, net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45D03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65513D9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78B3EC58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22,488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7ED1C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143534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0EDDBDC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6BC65AFA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23,354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9D0C7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6427156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0FD33B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Total other assets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527684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13D96B6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16FB0E7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487,488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865B05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02B92D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12AC03C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6C1A2822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543,354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28292B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108EB079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5E02AC5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79A2CA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0AF81C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4812358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D9BBF5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B08B49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804D70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6CBAF18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AD09FC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BA35324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4D14CC4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ASSETS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31EC993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5CBF281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2C715139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3,362,016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245B5E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760094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5A4FCE2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42A41884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2,789,467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2C4D46D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8E3916C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33B945E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5BC514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486721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34D30A9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F4AD5F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5004A8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7376A3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33F3A08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461D98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F4CECD8" w14:textId="77777777" w:rsidTr="001C2EA0">
        <w:trPr>
          <w:tblCellSpacing w:w="0" w:type="dxa"/>
        </w:trPr>
        <w:tc>
          <w:tcPr>
            <w:tcW w:w="0" w:type="auto"/>
            <w:gridSpan w:val="9"/>
            <w:shd w:val="clear" w:color="auto" w:fill="CCEEFF"/>
            <w:vAlign w:val="bottom"/>
            <w:hideMark/>
          </w:tcPr>
          <w:p w14:paraId="2D4EB39A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 AND STOCKHOLDERS’ EQUITY</w:t>
            </w:r>
          </w:p>
        </w:tc>
      </w:tr>
      <w:tr w:rsidR="001C2EA0" w:rsidRPr="00CC349C" w14:paraId="1D85E7E9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0526E26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FC84B4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1FCD60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5BABD8A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AA47B0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30FC68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F3F275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44D524B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FEDB6A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D4852BD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351EA00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CURRENT LIABILITIES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2EED45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F55ABC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24AAFF5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F1208C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1E80DF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E6C9BB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679F87C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E2930F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0688F86B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1A9B02CA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Accounts payable and accrued expense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7C6C8F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0186D7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342B6D5B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149,464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10F05B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85B062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708341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30C2B8C3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142,607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936CDF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0923673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4FAED95E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Line of credit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1D5C35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0B3B26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08D0E6EE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20,625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137EF1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9DBA8F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AECE6F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5D655B29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4670E0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0ACC08F3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43FC90D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Current portion of long-term debt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E10A11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0F0086A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23AC7C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56,318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40E001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266F6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58CEF0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ABBB2BF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56,318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DC507E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2AA3468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0800D65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Total current liabilities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B8EC19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0EA5BF4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07A7150E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226,407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DF77E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B07AD2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6089F7D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27F61B6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198,925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85CA2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AD075AA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66A9509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886D19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7240C1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7CF08D9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374E5B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69EAF0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0AD3C7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00F57F6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525EBB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0F8C9DD4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2A3EEA2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LONG-TERM LIABILITIES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AAA9E1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E7F6E6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49BA8EE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508091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0513F1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7ED8A9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6EEA1F1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6B8832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04B7B5C3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8F9101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Long-term debt, less current portion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BA95A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170CDE2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63B40D08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781,239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D64DDF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1A3784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74A6D8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6D5881D2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795,457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77954D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28A07A1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16C4B99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41138E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3C0448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3212477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24B5D5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048C1A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239DE7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2119427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116CB8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E1DFD49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4453775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STOCKHOLDERS' EQUITY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115315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513E64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5775E05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02BA24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4FD344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0CAF09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047BB8A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968A21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DF9BCEA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3F8AC04E" w14:textId="77777777" w:rsidR="001C2EA0" w:rsidRPr="00CC349C" w:rsidRDefault="001C2EA0" w:rsidP="001C2EA0">
            <w:pPr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 Common stock, par value $.0001 per share, 100,000,000 shares authorized, 48,455,882 and 37,455,882 shares issued and outstanding, respectively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90033C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7CEF8B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4A2755E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4,845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21729D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DAD6D1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13F87A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2D43687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3,745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E0B2E3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50EFF75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50D14648" w14:textId="77777777" w:rsidR="001C2EA0" w:rsidRPr="00CC349C" w:rsidRDefault="001C2EA0" w:rsidP="001C2EA0">
            <w:pPr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Preferred stock, par value $.0001 per share, 5,000,000 shares authorized; Series A, zero and one share issued and outstanding, respectively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78219D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52707B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65605F9B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D40B2D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61AEE9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241534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1F23CA7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B1A252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2E3EFC3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5B6B2C9B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Additional paid-in capital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99B0EF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C99558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7173AA7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4,384,309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D5F391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91E51D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B35A1C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438B595B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3,923,049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3EFD5A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FEB974E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D71D6FE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Accumulated deficit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351AF3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FBC461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64D8FFFF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(2,034,784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3E1C33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70AC5D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335466B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47F4D790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(2,131,709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FE96C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2EA0" w:rsidRPr="00CC349C" w14:paraId="28C9D49F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C184F98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Total stockholders' equity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BB2664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660A15B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2BEF231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2,354,370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21B92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C9669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61724D2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7906D35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1,795,085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5E5B7D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C49B33C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61EEAFB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CD855D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262598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02112E8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8333B3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072EFE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46AD36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313DDA4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CEAF1C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211B1E2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426DE62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LIABILITIES AND STOCKHOLDERS' EQUITY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0D2257F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79950EE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666A410F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3,362,016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54EC7A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0A4EE88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103C459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73474A1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2,789,467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0F214B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</w:tbl>
    <w:p w14:paraId="306871D3" w14:textId="77777777" w:rsidR="00087388" w:rsidRPr="00355184" w:rsidRDefault="00087388" w:rsidP="003551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981CD7" w14:textId="77777777" w:rsidR="00BC4ACC" w:rsidRDefault="00BC4ACC" w:rsidP="00BC4AC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sop"/>
    </w:p>
    <w:p w14:paraId="5E4C4C58" w14:textId="484F0696" w:rsidR="001C2EA0" w:rsidRPr="00355184" w:rsidRDefault="001C2EA0" w:rsidP="00BC4AC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b/>
          <w:bCs/>
          <w:sz w:val="20"/>
          <w:szCs w:val="20"/>
        </w:rPr>
        <w:t>CTD HOLDINGS, INC.</w:t>
      </w:r>
      <w:bookmarkEnd w:id="1"/>
    </w:p>
    <w:p w14:paraId="3019A369" w14:textId="77777777" w:rsidR="001C2EA0" w:rsidRPr="00CC349C" w:rsidRDefault="001C2EA0" w:rsidP="001C2E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b/>
          <w:bCs/>
          <w:sz w:val="20"/>
          <w:szCs w:val="20"/>
        </w:rPr>
        <w:t>CONSOLIDATED STATEMENTS OF OPERATIONS</w:t>
      </w:r>
    </w:p>
    <w:p w14:paraId="629ECC02" w14:textId="77777777" w:rsidR="001C2EA0" w:rsidRPr="00CC349C" w:rsidRDefault="001C2EA0" w:rsidP="001C2E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b/>
          <w:bCs/>
          <w:sz w:val="20"/>
          <w:szCs w:val="20"/>
        </w:rPr>
        <w:t>(Unaudited)</w:t>
      </w:r>
    </w:p>
    <w:p w14:paraId="010552E7" w14:textId="77777777" w:rsidR="001C2EA0" w:rsidRPr="00CC349C" w:rsidRDefault="001C2EA0" w:rsidP="001C2EA0">
      <w:pPr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6"/>
        <w:gridCol w:w="50"/>
        <w:gridCol w:w="100"/>
        <w:gridCol w:w="900"/>
        <w:gridCol w:w="67"/>
        <w:gridCol w:w="50"/>
        <w:gridCol w:w="100"/>
        <w:gridCol w:w="900"/>
        <w:gridCol w:w="67"/>
      </w:tblGrid>
      <w:tr w:rsidR="001C2EA0" w:rsidRPr="00CC349C" w14:paraId="4AD83410" w14:textId="77777777" w:rsidTr="001C2EA0">
        <w:trPr>
          <w:tblCellSpacing w:w="0" w:type="dxa"/>
        </w:trPr>
        <w:tc>
          <w:tcPr>
            <w:tcW w:w="0" w:type="auto"/>
            <w:vAlign w:val="bottom"/>
            <w:hideMark/>
          </w:tcPr>
          <w:p w14:paraId="444A2A2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6C4009E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6"/>
            <w:vAlign w:val="bottom"/>
            <w:hideMark/>
          </w:tcPr>
          <w:p w14:paraId="6FC82819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Three Months Ended</w:t>
            </w:r>
          </w:p>
        </w:tc>
        <w:tc>
          <w:tcPr>
            <w:tcW w:w="0" w:type="auto"/>
            <w:vAlign w:val="bottom"/>
            <w:hideMark/>
          </w:tcPr>
          <w:p w14:paraId="6CB730C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B473A4F" w14:textId="77777777" w:rsidTr="001C2EA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35232E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378F4F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bottom w:val="single" w:sz="12" w:space="0" w:color="000000"/>
            </w:tcBorders>
            <w:vAlign w:val="bottom"/>
            <w:hideMark/>
          </w:tcPr>
          <w:p w14:paraId="325A37B1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March 31,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174F3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C3AF8F3" w14:textId="77777777" w:rsidTr="001C2EA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694EB8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1C533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bottom"/>
            <w:hideMark/>
          </w:tcPr>
          <w:p w14:paraId="3BB12F3C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76DEAD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ED7E07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bottom"/>
            <w:hideMark/>
          </w:tcPr>
          <w:p w14:paraId="6ACC5B86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CE0196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2DEB449" w14:textId="77777777" w:rsidTr="001C2EA0">
        <w:trPr>
          <w:tblCellSpacing w:w="0" w:type="dxa"/>
        </w:trPr>
        <w:tc>
          <w:tcPr>
            <w:tcW w:w="0" w:type="auto"/>
            <w:vAlign w:val="bottom"/>
            <w:hideMark/>
          </w:tcPr>
          <w:p w14:paraId="7D6D8A7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6E670CA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025DD09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6417196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653740C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13BC8BB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43482C7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84FF3F4" w14:textId="77777777" w:rsidTr="001C2EA0">
        <w:trPr>
          <w:tblCellSpacing w:w="0" w:type="dxa"/>
        </w:trPr>
        <w:tc>
          <w:tcPr>
            <w:tcW w:w="0" w:type="auto"/>
            <w:vAlign w:val="bottom"/>
            <w:hideMark/>
          </w:tcPr>
          <w:p w14:paraId="74B7334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0" w:type="auto"/>
            <w:vAlign w:val="bottom"/>
            <w:hideMark/>
          </w:tcPr>
          <w:p w14:paraId="3338088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07AD2BE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1979B0C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6C7FB22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79E2B00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0886D96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BF9A6A5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E4EAACF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Product sales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AFBB8D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05EFE54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5F3AC8D3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560,325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D373B2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E5A56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5707570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4FA29610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583,491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B63BA9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8BFEB7A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237ACA7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8B68F8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EADD6E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7E1A757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818773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DA2934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0F824B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6AA657B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A80581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6885C8FF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75B99CF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CC743B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37E705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4A7B85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158483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2D8031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3FB1BF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736BAD5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4E5374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0E95CCD5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6F7CDFA9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Personnel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49D4E5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1D3CB8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7534DFE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114,821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87E682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46F564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E4E742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52CBE92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80,428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3BC019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728E7E7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23DFCC3D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Cost of products sold (exclusive of amortization and depreciation, shown separately below)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BAB173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DA6E87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730A8EC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120,407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0CD261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93B680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7135B7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5CA8CC87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215,825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2BB514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F29F633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77557915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Repairs and maintenance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51317B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880748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23045F94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17,486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9D36B2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EC1E44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F6015A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142B333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3,191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858510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6467DDBF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17D6EF40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Professional fees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BA5333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BAB351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7221EC88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65,403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A7C0A6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3A8DC8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020F43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2B45E5A2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43,131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38730C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E4178D9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7FB2C7D8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Office and other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8A9930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C7AE44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4194B5D0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44,058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10FB89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32A46E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7EE42D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2A87F9C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26,150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D85BA1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1D58005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40C5EAE8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Amortization and depreciation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3D1AA7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D85451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CB83D2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37,819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30DD03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3F899E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33606C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AAF7097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35,391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77F185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E140258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69D256C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Freight and shipping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5B15F6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40A5AA9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E8F2BB8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2,093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58CEDC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8B1DD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5604E1E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145B2D1E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2,866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8DE955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1389DA55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0AADEB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62E9F7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75A79C2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3A1E3F70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402,087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574793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05BF2E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728338C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2F26EDFC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406,982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384AA6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07DF4CA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2A89A91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E29031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6686F7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6F89B1B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0730F1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91606D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D1270F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57850A1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5E154C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369F1EB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B24C07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OPERATING INCOME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F7D82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0E2C9BA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605CFC3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158,238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A447E9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0B8E13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2FA5A31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006EC9EE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176,509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5456CC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708F4AE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5272A67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369F0F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24DE84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61D3EC1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A1600F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92F8A7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FE02B2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25E395C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6F52E9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17BAABA2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1D9F75E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 INCOME (EXPENSES)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97BE03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0554CA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36ACF7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3A569E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BDBEDA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F38DE6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03B830C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C34916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3B138D2A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6F571474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Investment and other income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AB8A59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8B5910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0888DD03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2,173 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593630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24BD4F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2351EF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3AF25F93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715 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F49537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45C95DB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1B6031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Interest expense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46332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1924789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27331F82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(8,486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4C923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925FE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75773BB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7A3C0C1D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(17,146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A9ACF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2EA0" w:rsidRPr="00CC349C" w14:paraId="283DC067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EDD99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C11FF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0CF423B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0D0B0D5C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(6,313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C0C28C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8580D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11AD49A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3FF0058E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(16,431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611E9A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2EA0" w:rsidRPr="00CC349C" w14:paraId="764C8675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640AF85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3E557E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069106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39A72C1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D524A3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8F4EE4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764ECC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65DCA53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CBA689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76B07EB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70CF298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INCOME BEFORE INCOME TAXES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678A64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D8F352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29F7DB3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151,925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4A174C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1096E5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1DB42C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139E4642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160,078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9FA03A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17A519A9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701B8B9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BC671F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7103D8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0515EBB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500ACB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5EF9FA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4CCD77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41718A4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BD28E2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1C588D8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D61C8C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Income taxes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811EA8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25ECAF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99DD0C8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55,000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65F5B1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35E09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34F6B26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77275C0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40,000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C0187D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F7A88EF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321F875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E98936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E5D005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0E1C1A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FCDD25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60A5A4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636EC8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641CC57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ED1536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D8D64E9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AE4413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 INCOME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41A5E51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1453947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6572F6D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96,925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067461A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39D2614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56EB1AC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146EA49A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120,078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73AD61C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2205A67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1465397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A59E5D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5D2522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60A56F3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5A95A4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CF9AEA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1AD705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55BAA9B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50EC17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133A8BF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3E39048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 INCOME PER COMMON SHARE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2C70549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6C6AD82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59F28D08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49194F5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6B05718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4AE044D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18BDEA5D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48D4A7B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174C3A82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55DD6BD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A80249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108F29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F4EC7F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C5960E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BE6B35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C7BDAE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6892A1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720258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DBC7489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626D42E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WEIGHTED AVERAGE NUMBER OF COMMON SHARES OUTSTANDING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4AB675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0EA73D0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40DD34FF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42,466,993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0146F35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9F29FE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0BEE5E4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52A4AA7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36,889,535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22B99E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</w:tbl>
    <w:p w14:paraId="31CF6D09" w14:textId="77777777" w:rsidR="001C2EA0" w:rsidRDefault="001C2EA0" w:rsidP="001C2EA0">
      <w:pPr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A1E1D09" w14:textId="0E514E83" w:rsidR="00087388" w:rsidRPr="00355184" w:rsidRDefault="00087388" w:rsidP="00355184">
      <w:pPr>
        <w:jc w:val="center"/>
        <w:rPr>
          <w:rFonts w:ascii="Helvetica" w:eastAsia="Times New Roman" w:hAnsi="Helvetica" w:cs="Times New Roman"/>
        </w:rPr>
      </w:pPr>
      <w:bookmarkStart w:id="2" w:name="cas"/>
    </w:p>
    <w:p w14:paraId="1894F439" w14:textId="77777777" w:rsidR="001C2EA0" w:rsidRPr="00CC349C" w:rsidRDefault="001C2EA0" w:rsidP="001C2E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CTD HOLDINGS, INC.</w:t>
      </w:r>
      <w:bookmarkEnd w:id="2"/>
    </w:p>
    <w:p w14:paraId="2569F537" w14:textId="77777777" w:rsidR="001C2EA0" w:rsidRPr="00CC349C" w:rsidRDefault="001C2EA0" w:rsidP="001C2E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b/>
          <w:bCs/>
          <w:sz w:val="20"/>
          <w:szCs w:val="20"/>
        </w:rPr>
        <w:t>CONSOLIDATED STATEMENTS OF CASH FLOWS</w:t>
      </w:r>
    </w:p>
    <w:p w14:paraId="6CF115E5" w14:textId="77777777" w:rsidR="001C2EA0" w:rsidRPr="00CC349C" w:rsidRDefault="001C2EA0" w:rsidP="001C2E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b/>
          <w:bCs/>
          <w:sz w:val="20"/>
          <w:szCs w:val="20"/>
        </w:rPr>
        <w:t>Increase (Decrease) in Cash and Cash Equivalents</w:t>
      </w:r>
    </w:p>
    <w:p w14:paraId="77E1E700" w14:textId="77777777" w:rsidR="001C2EA0" w:rsidRPr="00CC349C" w:rsidRDefault="001C2EA0" w:rsidP="001C2E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C349C">
        <w:rPr>
          <w:rFonts w:ascii="Times New Roman" w:eastAsia="Times New Roman" w:hAnsi="Times New Roman" w:cs="Times New Roman"/>
          <w:b/>
          <w:bCs/>
          <w:sz w:val="20"/>
          <w:szCs w:val="20"/>
        </w:rPr>
        <w:t>(Unaudited)</w:t>
      </w:r>
    </w:p>
    <w:p w14:paraId="3067F219" w14:textId="77777777" w:rsidR="001C2EA0" w:rsidRPr="00CC349C" w:rsidRDefault="001C2EA0" w:rsidP="001C2EA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82"/>
        <w:gridCol w:w="100"/>
        <w:gridCol w:w="774"/>
        <w:gridCol w:w="82"/>
        <w:gridCol w:w="82"/>
        <w:gridCol w:w="100"/>
        <w:gridCol w:w="775"/>
        <w:gridCol w:w="83"/>
      </w:tblGrid>
      <w:tr w:rsidR="001C2EA0" w:rsidRPr="00CC349C" w14:paraId="1B03C6E9" w14:textId="77777777" w:rsidTr="001C2EA0">
        <w:trPr>
          <w:tblCellSpacing w:w="0" w:type="dxa"/>
        </w:trPr>
        <w:tc>
          <w:tcPr>
            <w:tcW w:w="0" w:type="auto"/>
            <w:vAlign w:val="bottom"/>
            <w:hideMark/>
          </w:tcPr>
          <w:p w14:paraId="1EBF6FB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312E8A8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6"/>
            <w:vAlign w:val="bottom"/>
            <w:hideMark/>
          </w:tcPr>
          <w:p w14:paraId="6184B029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Three Months Ended</w:t>
            </w:r>
          </w:p>
        </w:tc>
        <w:tc>
          <w:tcPr>
            <w:tcW w:w="0" w:type="auto"/>
            <w:vAlign w:val="bottom"/>
            <w:hideMark/>
          </w:tcPr>
          <w:p w14:paraId="3A66F64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6FB5218" w14:textId="77777777" w:rsidTr="001C2EA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F2917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6C269C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bottom w:val="double" w:sz="4" w:space="0" w:color="000000"/>
            </w:tcBorders>
            <w:vAlign w:val="bottom"/>
            <w:hideMark/>
          </w:tcPr>
          <w:p w14:paraId="2B5FD287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March 31,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1C4E7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75F3332" w14:textId="77777777" w:rsidTr="001C2EA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289504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D9099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double" w:sz="4" w:space="0" w:color="000000"/>
            </w:tcBorders>
            <w:vAlign w:val="bottom"/>
            <w:hideMark/>
          </w:tcPr>
          <w:p w14:paraId="69527565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6E9EB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DCC02C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double" w:sz="4" w:space="0" w:color="000000"/>
            </w:tcBorders>
            <w:vAlign w:val="bottom"/>
            <w:hideMark/>
          </w:tcPr>
          <w:p w14:paraId="1693C239" w14:textId="77777777" w:rsidR="001C2EA0" w:rsidRPr="00CC349C" w:rsidRDefault="001C2EA0" w:rsidP="001C2E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D8EB91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CBCC155" w14:textId="77777777" w:rsidTr="001C2EA0">
        <w:trPr>
          <w:tblCellSpacing w:w="0" w:type="dxa"/>
        </w:trPr>
        <w:tc>
          <w:tcPr>
            <w:tcW w:w="0" w:type="auto"/>
            <w:vAlign w:val="bottom"/>
            <w:hideMark/>
          </w:tcPr>
          <w:p w14:paraId="0A3BD37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CASH FLOWS FROM OPERATING ACTIVITIES</w:t>
            </w:r>
          </w:p>
        </w:tc>
        <w:tc>
          <w:tcPr>
            <w:tcW w:w="0" w:type="auto"/>
            <w:vAlign w:val="bottom"/>
            <w:hideMark/>
          </w:tcPr>
          <w:p w14:paraId="342C4EF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22DDAE8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2D7C1F6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0DCD36B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14B7E55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6DE6078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085D7E1A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0519F56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Net income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65A8EB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4B20FE1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4BC0470B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96,925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A723B8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B635FC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2E5EEB3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0A71F87E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120,078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156C20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C65D72B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05BB67D7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Adjustments to reconcile net income to net cash provided by (used in) operating activities: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18B660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BD5892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29FBBE5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9C1E9B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F310B9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795A8F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437F1BA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E54203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D69DF45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69FC7525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Depreciation and amortization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526F54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29C0FF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081D3D8B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37,819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4CEA38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665894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0504AF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0358242C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35,391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77061E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072BCE1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41A744EA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Deferred income taxes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90B9F9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DF67B3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53E19D29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55,000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156FFD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1A2B68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A41FCF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00925CFC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40,000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A05ED7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1F5A3AAE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6CC4C4E3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Increase or decrease in: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3C2230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9C77F3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5568447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C182B4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64121A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BB4DBD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46358B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250585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6D6A6966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6389F1B6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Accounts receivable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E0ABE6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D37C68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1FC89AC4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39,084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DE603A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C261AB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CDAE50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0490E02A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(186,095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4F45B9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2EA0" w:rsidRPr="00CC349C" w14:paraId="237CD3F9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265A5B14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Inventory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364CCD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D12D48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5671290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(18,992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E3F922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7D6231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D0C925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65769AE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4,429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27DE9B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750318A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06DCC8E8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Other current assets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F1430C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49FA9C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1C419B6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(23,156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BF2886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26842D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4D9275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09C82542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2,275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E49FBD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13CE74B5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A895652" w14:textId="77777777" w:rsidR="001C2EA0" w:rsidRPr="00CC349C" w:rsidRDefault="001C2EA0" w:rsidP="001C2EA0">
            <w:pPr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Accounts payable and accrued expenses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1C163C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331E8B6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35D7101D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6,857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9201A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552FD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3119275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2D07258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97,571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637554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0C911909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72601247" w14:textId="77777777" w:rsidR="001C2EA0" w:rsidRPr="00CC349C" w:rsidRDefault="001C2EA0" w:rsidP="001C2EA0">
            <w:pPr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Total adjustments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AAA156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A048BC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3B7420D3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96,612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11C00F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A5DD40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C9CEC2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0B1BC66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6,429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396D5B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B4EEF6C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57A1C0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892F7E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293C9F2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15B24CE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43DC49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AB99F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523D784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1B3D4CA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9B2CC2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172DDAAD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E43FAB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 CASH PROVIDED BY OPERATING ACTIVITIES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0F641A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72428C1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7E0482E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193,537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E1EB53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B1A6B4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4F923F0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3889179C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113,649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E5B7F4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BF81C8E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552ACE4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63852C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9CDA0F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00A4444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8DBFB8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A4D82E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AA3857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2E445D9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FC6E2D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130C0B0E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586C490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CASH FLOWS FROM INVESTING ACTIVITIES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D3987E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31F68E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57086AC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8F4BCE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000436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527DED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659D2FC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A3DE1C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12056FF3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5010D78D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Purchase of equipment and building improvements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12A104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5BFDF7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CEBD5DC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(58,316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E780A4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E2FFA5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1A4020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5BEE63FD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(833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37EC98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2EA0" w:rsidRPr="00CC349C" w14:paraId="7EAD68E4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A46A1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F86994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9B3C13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7008353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ED8D5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53214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6130C49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6F28AE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1C6B22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67D864E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9DF42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 CASH USED IN INVESTING ACTIVITIES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FAC69C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64633A4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4DBEC194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(58,316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A152F2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9BF6DC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0FE20C2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6DF93737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(833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CC82D4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2EA0" w:rsidRPr="00CC349C" w14:paraId="30E12E4B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4896612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C1A416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64CE32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6EB2AF2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7F715A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D07A73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9A72EF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4DC0A95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32D6DF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4B19268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49B9D3A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CASH FLOWS FROM FINANCING ACTIVITIES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8FA8B4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EBE378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2264FEF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795800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D5C640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C764D3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217C12D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FEA906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2EE235D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3B4A9053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Payments on notes payable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68F934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D10C29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4705C12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(14,218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2CF7B5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CBA81D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A14879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50A1E42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(34,502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DBA662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2EA0" w:rsidRPr="00CC349C" w14:paraId="7C6BC459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24CF72FD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Proceeds from line of credit</w:t>
            </w:r>
          </w:p>
        </w:tc>
        <w:tc>
          <w:tcPr>
            <w:tcW w:w="50" w:type="pct"/>
            <w:shd w:val="clear" w:color="auto" w:fill="CCEEFF"/>
            <w:hideMark/>
          </w:tcPr>
          <w:p w14:paraId="457B235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hideMark/>
          </w:tcPr>
          <w:p w14:paraId="2007626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hideMark/>
          </w:tcPr>
          <w:p w14:paraId="5656B9D2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20,625</w:t>
            </w:r>
          </w:p>
        </w:tc>
        <w:tc>
          <w:tcPr>
            <w:tcW w:w="50" w:type="pct"/>
            <w:shd w:val="clear" w:color="auto" w:fill="CCEEFF"/>
            <w:hideMark/>
          </w:tcPr>
          <w:p w14:paraId="5823942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hideMark/>
          </w:tcPr>
          <w:p w14:paraId="67F7F82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hideMark/>
          </w:tcPr>
          <w:p w14:paraId="2EF7FBC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hideMark/>
          </w:tcPr>
          <w:p w14:paraId="7A822A8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(3,491</w:t>
            </w:r>
          </w:p>
        </w:tc>
        <w:tc>
          <w:tcPr>
            <w:tcW w:w="50" w:type="pct"/>
            <w:shd w:val="clear" w:color="auto" w:fill="CCEEFF"/>
            <w:hideMark/>
          </w:tcPr>
          <w:p w14:paraId="6EA649D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2EA0" w:rsidRPr="00CC349C" w14:paraId="2A842DF6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58854A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Proceeds from sale of common stock, net of direct offering costs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7FE449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509962F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77673FA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462,360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64BF3E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AD95DC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6FEE97B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2F3F492F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E753B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4AEDA42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2BE407F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612612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A25E78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4B2F7E5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80E526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87B225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6E21C6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2B698F3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0BA7F00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085FF98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2F800E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 CASH PROVIDED BY (USED IN) FINANCING ACTIVITIES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F47591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6F32740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7D9AB7EA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468,767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8E77D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B97E88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0DC0DEE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FFFFFF"/>
            <w:vAlign w:val="bottom"/>
            <w:hideMark/>
          </w:tcPr>
          <w:p w14:paraId="3B335B8B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(37,993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C4BBC5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2EA0" w:rsidRPr="00CC349C" w14:paraId="17407E95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6FAB52D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A950BA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2EC8C2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27CADFB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2CF50D8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014C7A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83C938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56F3B86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EF5D02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06DD369C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2044D60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 INCREASE IN CASH AND CASH EQUIVALENTS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BD2768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418BE5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644A6E56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603,988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677C09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B23670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8341DA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32638782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74,823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2F52644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0993863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6F84B11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08AEF4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7D0AB03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1E18038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A4B42B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44AE13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57AF9F9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0789B00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4831FBE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E508BBA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511510A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CASH AND CASH EQUIVALENTS</w:t>
            </w: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, beginning of period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02C6C4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34192B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75A64A8C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268,516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786D56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AB64DC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ED19D7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6A92821E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22,839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196B95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751E75EE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30D51F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10E19B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54FD690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18B332C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DB07C40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69B694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7323CF2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bottom w:val="single" w:sz="12" w:space="0" w:color="000000"/>
            </w:tcBorders>
            <w:shd w:val="clear" w:color="auto" w:fill="CCEEFF"/>
            <w:vAlign w:val="bottom"/>
            <w:hideMark/>
          </w:tcPr>
          <w:p w14:paraId="3FCF8BC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832EF9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597EE19E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2C9F11E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CASH AND CASH EQUIVALENTS</w:t>
            </w: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, end of period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6D7E16F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1944ECD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043E8A37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872,504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6E49037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0217FCB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6D471A1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FFFFFF"/>
            <w:vAlign w:val="bottom"/>
            <w:hideMark/>
          </w:tcPr>
          <w:p w14:paraId="5BC12991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97,662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C64939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1075136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vAlign w:val="bottom"/>
            <w:hideMark/>
          </w:tcPr>
          <w:p w14:paraId="73A25B7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69BC1B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06463E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765857A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6275BE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1EFCF28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68F1D1F4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CCEEFF"/>
            <w:vAlign w:val="bottom"/>
            <w:hideMark/>
          </w:tcPr>
          <w:p w14:paraId="20106977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vAlign w:val="bottom"/>
            <w:hideMark/>
          </w:tcPr>
          <w:p w14:paraId="30AABC5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ACEBE61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30C339A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SUPPLEMENTAL DISCLOSURE OF CASH FLOW INFORMATION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C881FA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D33FF6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6EDAA85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55786D0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7FC004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9A2C5D5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248C5EC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381C254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2D98BD9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586A61CF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Cash paid for interest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0437227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5232B22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7DEA8552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8,486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2909893C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6DE292B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28247BF6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1AB44670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17,146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0FF07C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4B70B1F2" w14:textId="77777777" w:rsidTr="001C2EA0">
        <w:trPr>
          <w:tblCellSpacing w:w="0" w:type="dxa"/>
        </w:trPr>
        <w:tc>
          <w:tcPr>
            <w:tcW w:w="3800" w:type="pct"/>
            <w:shd w:val="clear" w:color="auto" w:fill="FFFFFF"/>
            <w:vAlign w:val="bottom"/>
            <w:hideMark/>
          </w:tcPr>
          <w:p w14:paraId="0ED6CCAA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61765E83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1514AFB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55A6D1E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7BD0835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094C297B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9E00B0E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shd w:val="clear" w:color="auto" w:fill="FFFFFF"/>
            <w:vAlign w:val="bottom"/>
            <w:hideMark/>
          </w:tcPr>
          <w:p w14:paraId="3314FAD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FFFFFF"/>
            <w:vAlign w:val="bottom"/>
            <w:hideMark/>
          </w:tcPr>
          <w:p w14:paraId="46E7F361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C2EA0" w:rsidRPr="00CC349C" w14:paraId="21DA620E" w14:textId="77777777" w:rsidTr="001C2EA0">
        <w:trPr>
          <w:tblCellSpacing w:w="0" w:type="dxa"/>
        </w:trPr>
        <w:tc>
          <w:tcPr>
            <w:tcW w:w="380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3D67655C" w14:textId="77777777" w:rsidR="001C2EA0" w:rsidRPr="00CC349C" w:rsidRDefault="001C2EA0" w:rsidP="001C2EA0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  Cash paid for income taxes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42A84919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4D09134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70358AC5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51198AB2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5BEAB47D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561B19D8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shd w:val="clear" w:color="auto" w:fill="CCEEFF"/>
            <w:vAlign w:val="bottom"/>
            <w:hideMark/>
          </w:tcPr>
          <w:p w14:paraId="68BB45AA" w14:textId="77777777" w:rsidR="001C2EA0" w:rsidRPr="00CC349C" w:rsidRDefault="001C2EA0" w:rsidP="001C2E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pct"/>
            <w:shd w:val="clear" w:color="auto" w:fill="CCEE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736C6E8F" w14:textId="77777777" w:rsidR="001C2EA0" w:rsidRPr="00CC349C" w:rsidRDefault="001C2EA0" w:rsidP="001C2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4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</w:tbl>
    <w:p w14:paraId="51F08189" w14:textId="77777777" w:rsidR="00860FB8" w:rsidRDefault="00860FB8"/>
    <w:p w14:paraId="7021B061" w14:textId="279739C0" w:rsidR="00D10ECA" w:rsidRPr="00ED4AA9" w:rsidRDefault="00D10ECA" w:rsidP="00ED4AA9">
      <w:pPr>
        <w:shd w:val="clear" w:color="auto" w:fill="FFFFFF"/>
        <w:spacing w:after="270" w:line="270" w:lineRule="atLeast"/>
        <w:jc w:val="center"/>
        <w:rPr>
          <w:rFonts w:ascii="Helvetica" w:hAnsi="Helvetica" w:cs="Times New Roman"/>
          <w:color w:val="000000"/>
        </w:rPr>
      </w:pPr>
    </w:p>
    <w:sectPr w:rsidR="00D10ECA" w:rsidRPr="00ED4AA9" w:rsidSect="00F77B8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2B70A" w14:textId="77777777" w:rsidR="00355184" w:rsidRDefault="00355184" w:rsidP="00F96FC9">
      <w:r>
        <w:separator/>
      </w:r>
    </w:p>
  </w:endnote>
  <w:endnote w:type="continuationSeparator" w:id="0">
    <w:p w14:paraId="64A14547" w14:textId="77777777" w:rsidR="00355184" w:rsidRDefault="00355184" w:rsidP="00F9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56903" w14:textId="77777777" w:rsidR="00355184" w:rsidRDefault="00355184" w:rsidP="00F96FC9">
      <w:r>
        <w:separator/>
      </w:r>
    </w:p>
  </w:footnote>
  <w:footnote w:type="continuationSeparator" w:id="0">
    <w:p w14:paraId="62C53C67" w14:textId="77777777" w:rsidR="00355184" w:rsidRDefault="00355184" w:rsidP="00F96F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45264" w14:textId="77777777" w:rsidR="00355184" w:rsidRDefault="00355184">
    <w:pPr>
      <w:pStyle w:val="Header"/>
      <w:rPr>
        <w:rFonts w:ascii="Helvetica" w:hAnsi="Helvetica"/>
      </w:rPr>
    </w:pPr>
  </w:p>
  <w:p w14:paraId="7AD97B39" w14:textId="77777777" w:rsidR="00355184" w:rsidRPr="00860FB8" w:rsidRDefault="00355184">
    <w:pPr>
      <w:pStyle w:val="Header"/>
      <w:rPr>
        <w:rFonts w:ascii="Helvetica" w:hAnsi="Helvetic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9BB"/>
    <w:multiLevelType w:val="hybridMultilevel"/>
    <w:tmpl w:val="77CEADA2"/>
    <w:lvl w:ilvl="0" w:tplc="93267EE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4B8564AF"/>
    <w:multiLevelType w:val="hybridMultilevel"/>
    <w:tmpl w:val="90B4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C9"/>
    <w:rsid w:val="00044647"/>
    <w:rsid w:val="00087388"/>
    <w:rsid w:val="00100F4A"/>
    <w:rsid w:val="001C2EA0"/>
    <w:rsid w:val="001D4B48"/>
    <w:rsid w:val="001E56D7"/>
    <w:rsid w:val="001E7C66"/>
    <w:rsid w:val="00260D65"/>
    <w:rsid w:val="00306F9A"/>
    <w:rsid w:val="00355184"/>
    <w:rsid w:val="00376A8E"/>
    <w:rsid w:val="003F4FE2"/>
    <w:rsid w:val="004442AA"/>
    <w:rsid w:val="004B756F"/>
    <w:rsid w:val="00534411"/>
    <w:rsid w:val="005707A3"/>
    <w:rsid w:val="005D7BE9"/>
    <w:rsid w:val="006D3765"/>
    <w:rsid w:val="006E5C48"/>
    <w:rsid w:val="0071112D"/>
    <w:rsid w:val="007B0E2C"/>
    <w:rsid w:val="00825C1B"/>
    <w:rsid w:val="00860FB8"/>
    <w:rsid w:val="0094178E"/>
    <w:rsid w:val="00A52A0B"/>
    <w:rsid w:val="00AF3BDC"/>
    <w:rsid w:val="00B30FE0"/>
    <w:rsid w:val="00BC49C1"/>
    <w:rsid w:val="00BC4ACC"/>
    <w:rsid w:val="00C4295D"/>
    <w:rsid w:val="00D10ECA"/>
    <w:rsid w:val="00EB335E"/>
    <w:rsid w:val="00ED4AA9"/>
    <w:rsid w:val="00F77B89"/>
    <w:rsid w:val="00F96FC9"/>
    <w:rsid w:val="00F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039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FC9"/>
  </w:style>
  <w:style w:type="paragraph" w:styleId="Footer">
    <w:name w:val="footer"/>
    <w:basedOn w:val="Normal"/>
    <w:link w:val="FooterChar"/>
    <w:uiPriority w:val="99"/>
    <w:unhideWhenUsed/>
    <w:rsid w:val="00F96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FC9"/>
  </w:style>
  <w:style w:type="paragraph" w:styleId="ListParagraph">
    <w:name w:val="List Paragraph"/>
    <w:basedOn w:val="Normal"/>
    <w:uiPriority w:val="34"/>
    <w:qFormat/>
    <w:rsid w:val="00D10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F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0F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5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6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6D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FC9"/>
  </w:style>
  <w:style w:type="paragraph" w:styleId="Footer">
    <w:name w:val="footer"/>
    <w:basedOn w:val="Normal"/>
    <w:link w:val="FooterChar"/>
    <w:uiPriority w:val="99"/>
    <w:unhideWhenUsed/>
    <w:rsid w:val="00F96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FC9"/>
  </w:style>
  <w:style w:type="paragraph" w:styleId="ListParagraph">
    <w:name w:val="List Paragraph"/>
    <w:basedOn w:val="Normal"/>
    <w:uiPriority w:val="34"/>
    <w:qFormat/>
    <w:rsid w:val="00D10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F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0F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5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6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888</Words>
  <Characters>5068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NanoSonic Products, Inc.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Tate</dc:creator>
  <cp:lastModifiedBy>Jeffrey Tate</cp:lastModifiedBy>
  <cp:revision>2</cp:revision>
  <cp:lastPrinted>2014-05-14T16:13:00Z</cp:lastPrinted>
  <dcterms:created xsi:type="dcterms:W3CDTF">2014-05-14T18:59:00Z</dcterms:created>
  <dcterms:modified xsi:type="dcterms:W3CDTF">2014-05-14T18:59:00Z</dcterms:modified>
</cp:coreProperties>
</file>