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widowControl w:val="0"/>
        <w:contextualSpacing w:val="0"/>
        <w:jc w:val="center"/>
        <w:rPr/>
      </w:pPr>
      <w:r w:rsidRPr="00000000" w:rsidR="00000000" w:rsidDel="00000000">
        <w:rPr>
          <w:rFonts w:cs="Calibri" w:hAnsi="Calibri" w:eastAsia="Calibri" w:ascii="Calibri"/>
          <w:b w:val="1"/>
          <w:sz w:val="28"/>
          <w:rtl w:val="0"/>
        </w:rPr>
        <w:t xml:space="preserve">Altium Designer connects with </w:t>
      </w:r>
      <w:r w:rsidRPr="00000000" w:rsidR="00000000" w:rsidDel="00000000">
        <w:rPr>
          <w:rFonts w:cs="Calibri" w:hAnsi="Calibri" w:eastAsia="Calibri" w:ascii="Calibri"/>
          <w:b w:val="1"/>
          <w:sz w:val="28"/>
          <w:rtl w:val="0"/>
        </w:rPr>
        <w:t xml:space="preserve">TI</w:t>
      </w:r>
      <w:r w:rsidRPr="00000000" w:rsidR="00000000" w:rsidDel="00000000">
        <w:rPr>
          <w:rFonts w:cs="Calibri" w:hAnsi="Calibri" w:eastAsia="Calibri" w:ascii="Calibri"/>
          <w:b w:val="1"/>
          <w:sz w:val="28"/>
          <w:rtl w:val="0"/>
        </w:rPr>
        <w:t xml:space="preserve">’s WEBENCH® power supply tools to fast track system design</w:t>
      </w:r>
    </w:p>
    <w:p w:rsidP="00000000" w:rsidRPr="00000000" w:rsidR="00000000" w:rsidDel="00000000" w:rsidRDefault="00000000">
      <w:pPr>
        <w:widowControl w:val="0"/>
        <w:contextualSpacing w:val="0"/>
        <w:jc w:val="center"/>
        <w:rPr/>
      </w:pPr>
      <w:r w:rsidRPr="00000000" w:rsidR="00000000" w:rsidDel="00000000">
        <w:rPr>
          <w:rFonts w:cs="Calibri" w:hAnsi="Calibri" w:eastAsia="Calibri" w:ascii="Calibri"/>
          <w:i w:val="1"/>
          <w:rtl w:val="0"/>
        </w:rPr>
        <w:t xml:space="preserve">Powerful design platform provides end-to-end analog circuit design creation and simulation</w:t>
      </w:r>
    </w:p>
    <w:p w:rsidP="00000000" w:rsidRPr="00000000" w:rsidR="00000000" w:rsidDel="00000000" w:rsidRDefault="00000000">
      <w:pPr>
        <w:widowControl w:val="0"/>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Fonts w:cs="Calibri" w:hAnsi="Calibri" w:eastAsia="Calibri" w:ascii="Calibri"/>
          <w:b w:val="1"/>
          <w:rtl w:val="0"/>
        </w:rPr>
        <w:t xml:space="preserve">Sydney, Australia -</w:t>
      </w:r>
      <w:r w:rsidRPr="00000000" w:rsidR="00000000" w:rsidDel="00000000">
        <w:rPr>
          <w:rFonts w:cs="Calibri" w:hAnsi="Calibri" w:eastAsia="Calibri" w:ascii="Calibri"/>
          <w:b w:val="1"/>
          <w:rtl w:val="0"/>
        </w:rPr>
        <w:t xml:space="preserve"> June 5</w:t>
      </w:r>
      <w:r w:rsidRPr="00000000" w:rsidR="00000000" w:rsidDel="00000000">
        <w:rPr>
          <w:rFonts w:cs="Calibri" w:hAnsi="Calibri" w:eastAsia="Calibri" w:ascii="Calibri"/>
          <w:b w:val="1"/>
          <w:rtl w:val="0"/>
        </w:rPr>
        <w:t xml:space="preserve">, 2014 -</w:t>
      </w:r>
      <w:hyperlink r:id="rId5">
        <w:r w:rsidRPr="00000000" w:rsidR="00000000" w:rsidDel="00000000">
          <w:rPr>
            <w:rFonts w:cs="Calibri" w:hAnsi="Calibri" w:eastAsia="Calibri" w:ascii="Calibri"/>
            <w:b w:val="1"/>
            <w:rtl w:val="0"/>
          </w:rPr>
          <w:t xml:space="preserve"> </w:t>
        </w:r>
      </w:hyperlink>
      <w:hyperlink r:id="rId6">
        <w:r w:rsidRPr="00000000" w:rsidR="00000000" w:rsidDel="00000000">
          <w:rPr>
            <w:rFonts w:cs="Calibri" w:hAnsi="Calibri" w:eastAsia="Calibri" w:ascii="Calibri"/>
            <w:color w:val="1155cc"/>
            <w:rtl w:val="0"/>
          </w:rPr>
          <w:t xml:space="preserve">Altium Limited</w:t>
        </w:r>
      </w:hyperlink>
      <w:r w:rsidRPr="00000000" w:rsidR="00000000" w:rsidDel="00000000">
        <w:rPr>
          <w:rFonts w:cs="Calibri" w:hAnsi="Calibri" w:eastAsia="Calibri" w:ascii="Calibri"/>
          <w:highlight w:val="white"/>
          <w:rtl w:val="0"/>
        </w:rPr>
        <w:t xml:space="preserve">, a global leader in Smart System Design Automation, 3D PCB design (</w:t>
      </w:r>
      <w:hyperlink r:id="rId7">
        <w:r w:rsidRPr="00000000" w:rsidR="00000000" w:rsidDel="00000000">
          <w:rPr>
            <w:rFonts w:cs="Calibri" w:hAnsi="Calibri" w:eastAsia="Calibri" w:ascii="Calibri"/>
            <w:color w:val="1155cc"/>
            <w:rtl w:val="0"/>
          </w:rPr>
          <w:t xml:space="preserve">Altium Designer</w:t>
        </w:r>
      </w:hyperlink>
      <w:r w:rsidRPr="00000000" w:rsidR="00000000" w:rsidDel="00000000">
        <w:rPr>
          <w:rFonts w:cs="Calibri" w:hAnsi="Calibri" w:eastAsia="Calibri" w:ascii="Calibri"/>
          <w:highlight w:val="white"/>
          <w:rtl w:val="0"/>
        </w:rPr>
        <w:t xml:space="preserve">) and embedded software development (</w:t>
      </w:r>
      <w:hyperlink r:id="rId8">
        <w:r w:rsidRPr="00000000" w:rsidR="00000000" w:rsidDel="00000000">
          <w:rPr>
            <w:rFonts w:cs="Calibri" w:hAnsi="Calibri" w:eastAsia="Calibri" w:ascii="Calibri"/>
            <w:color w:val="1155cc"/>
            <w:rtl w:val="0"/>
          </w:rPr>
          <w:t xml:space="preserve">TASKING</w:t>
        </w:r>
      </w:hyperlink>
      <w:r w:rsidRPr="00000000" w:rsidR="00000000" w:rsidDel="00000000">
        <w:rPr>
          <w:rFonts w:cs="Calibri" w:hAnsi="Calibri" w:eastAsia="Calibri" w:ascii="Calibri"/>
          <w:highlight w:val="white"/>
          <w:rtl w:val="0"/>
        </w:rPr>
        <w:t xml:space="preserve">)</w:t>
      </w:r>
      <w:r w:rsidRPr="00000000" w:rsidR="00000000" w:rsidDel="00000000">
        <w:rPr>
          <w:rFonts w:cs="Calibri" w:hAnsi="Calibri" w:eastAsia="Calibri" w:ascii="Calibri"/>
          <w:rtl w:val="0"/>
        </w:rPr>
        <w:t xml:space="preserve"> </w:t>
      </w:r>
      <w:r w:rsidRPr="00000000" w:rsidR="00000000" w:rsidDel="00000000">
        <w:rPr>
          <w:rFonts w:cs="Calibri" w:hAnsi="Calibri" w:eastAsia="Calibri" w:ascii="Calibri"/>
          <w:highlight w:val="white"/>
          <w:rtl w:val="0"/>
        </w:rPr>
        <w:t xml:space="preserve">)</w:t>
      </w:r>
      <w:r w:rsidRPr="00000000" w:rsidR="00000000" w:rsidDel="00000000">
        <w:rPr>
          <w:rFonts w:cs="Calibri" w:hAnsi="Calibri" w:eastAsia="Calibri" w:ascii="Calibri"/>
          <w:rtl w:val="0"/>
        </w:rPr>
        <w:t xml:space="preserve"> today introduced WEBENCH® Altium Connector, a collaborative effort between Altium and</w:t>
      </w:r>
      <w:r w:rsidRPr="00000000" w:rsidR="00000000" w:rsidDel="00000000">
        <w:rPr>
          <w:rFonts w:cs="Calibri" w:hAnsi="Calibri" w:eastAsia="Calibri" w:ascii="Calibri"/>
          <w:rtl w:val="0"/>
        </w:rPr>
        <w:t xml:space="preserve"> </w:t>
      </w:r>
      <w:hyperlink r:id="rId9">
        <w:r w:rsidRPr="00000000" w:rsidR="00000000" w:rsidDel="00000000">
          <w:rPr>
            <w:rFonts w:cs="Calibri" w:hAnsi="Calibri" w:eastAsia="Calibri" w:ascii="Calibri"/>
            <w:color w:val="1155cc"/>
            <w:u w:val="single"/>
            <w:rtl w:val="0"/>
          </w:rPr>
          <w:t xml:space="preserve">Texas Instruments</w:t>
        </w:r>
      </w:hyperlink>
      <w:r w:rsidRPr="00000000" w:rsidR="00000000" w:rsidDel="00000000">
        <w:rPr>
          <w:rFonts w:cs="Calibri" w:hAnsi="Calibri" w:eastAsia="Calibri" w:ascii="Calibri"/>
          <w:rtl w:val="0"/>
        </w:rPr>
        <w:t xml:space="preserve"> (TI) to blend TI’s award-winning WEBENCH power design and simulation tools with Altium’s leading EDA tool suite Altium Designer. This powerful platform provides design engineers with the first end-to-end analog circuit design and simulation environment, including everything from creating the power supply and simulating the complete circuit to creating the printed circuit board (PCB) layout.</w:t>
      </w:r>
    </w:p>
    <w:p w:rsidP="00000000" w:rsidRPr="00000000" w:rsidR="00000000" w:rsidDel="00000000" w:rsidRDefault="00000000">
      <w:pPr>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contextualSpacing w:val="0"/>
      </w:pPr>
      <w:r w:rsidRPr="00000000" w:rsidR="00000000" w:rsidDel="00000000">
        <w:rPr>
          <w:rFonts w:cs="Calibri" w:hAnsi="Calibri" w:eastAsia="Calibri" w:ascii="Calibri"/>
          <w:rtl w:val="0"/>
        </w:rPr>
        <w:t xml:space="preserve">The new WEBENCH® Altium Connector is a seamless interface between Altium Designer and TI’s online WEBENCH® Power Designer.  By downloading WEBENCH® Altium Connector, design engineers are able to create a custom WEBENCH power supply from within the Altium Designer platform. The power supply design can be easily created in WEBENCH, and exported and simulated offline inside Altium Designer, giving engineers the opportunity to further customize and integrate the design into a larger circuit. The offline WEBENCH simulation engine can be used to simulate any analog circuit created in Altium Designer.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libri" w:hAnsi="Calibri" w:eastAsia="Calibri" w:ascii="Calibri"/>
          <w:rtl w:val="0"/>
        </w:rPr>
        <w:t xml:space="preserve">“For almost 30 years, we have remained focused on delivering next-generation electronics design tools that help designers innovate, while still meeting their core business objectives,” stated Jason Hingston, CTO at Altium.</w:t>
      </w:r>
    </w:p>
    <w:p w:rsidP="00000000" w:rsidRPr="00000000" w:rsidR="00000000" w:rsidDel="00000000" w:rsidRDefault="00000000">
      <w:pPr>
        <w:contextualSpacing w:val="0"/>
      </w:pPr>
      <w:r w:rsidRPr="00000000" w:rsidR="00000000" w:rsidDel="00000000">
        <w:rPr>
          <w:rFonts w:cs="Calibri" w:hAnsi="Calibri" w:eastAsia="Calibri" w:ascii="Calibri"/>
          <w:rtl w:val="0"/>
        </w:rPr>
        <w:t xml:space="preserve">“With the addition of WEBENCH Altium Connector, engineers now have access to the industry’s most complete and powerful end-to-end analog circuit design creation and simulation environment to help speed product development time and reduce overall costs.”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Calibri" w:hAnsi="Calibri" w:eastAsia="Calibri" w:ascii="Calibri"/>
          <w:rtl w:val="0"/>
        </w:rPr>
        <w:t xml:space="preserve">“By bringing TI’s WEBENCH Power Designer and Architect tools together with Altium’s </w:t>
      </w:r>
      <w:r w:rsidRPr="00000000" w:rsidR="00000000" w:rsidDel="00000000">
        <w:rPr>
          <w:rFonts w:cs="Calibri" w:hAnsi="Calibri" w:eastAsia="Calibri" w:ascii="Calibri"/>
          <w:rtl w:val="0"/>
        </w:rPr>
        <w:t xml:space="preserve">native</w:t>
      </w:r>
      <w:r w:rsidRPr="00000000" w:rsidR="00000000" w:rsidDel="00000000">
        <w:rPr>
          <w:rFonts w:cs="Calibri" w:hAnsi="Calibri" w:eastAsia="Calibri" w:ascii="Calibri"/>
          <w:rtl w:val="0"/>
        </w:rPr>
        <w:t xml:space="preserve"> 3D PCB design tools, the engineer can now create and simulate a complete analog circuit design from within the Altium environment,” said Jeff Perry, WEBENCH design manager at Texas Instruments.  “The combination of these tools allows the engineer to seamlessly incorporate optimized power supply designs into a larger circuit in a matter of minutes.”</w:t>
      </w:r>
    </w:p>
    <w:p w:rsidP="00000000" w:rsidRPr="00000000" w:rsidR="00000000" w:rsidDel="00000000" w:rsidRDefault="00000000">
      <w:pPr>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contextualSpacing w:val="0"/>
      </w:pPr>
      <w:r w:rsidRPr="00000000" w:rsidR="00000000" w:rsidDel="00000000">
        <w:rPr>
          <w:rFonts w:cs="Calibri" w:hAnsi="Calibri" w:eastAsia="Calibri" w:ascii="Calibri"/>
          <w:rtl w:val="0"/>
        </w:rPr>
        <w:t xml:space="preserve">WEBENCH Altium Connector key features and benefits:</w:t>
      </w:r>
    </w:p>
    <w:p w:rsidP="00000000" w:rsidRPr="00000000" w:rsidR="00000000" w:rsidDel="00000000" w:rsidRDefault="00000000">
      <w:pPr>
        <w:numPr>
          <w:ilvl w:val="0"/>
          <w:numId w:val="1"/>
        </w:numPr>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Seamless connection between Altium Designer and TI’s WEBENCH Power Designer and Architect speeds system design.</w:t>
      </w:r>
    </w:p>
    <w:p w:rsidP="00000000" w:rsidRPr="00000000" w:rsidR="00000000" w:rsidDel="00000000" w:rsidRDefault="00000000">
      <w:pPr>
        <w:numPr>
          <w:ilvl w:val="0"/>
          <w:numId w:val="1"/>
        </w:numPr>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WEBENCH menu in Altium provides easy access to the entire WEBENCH Designer tool suite, including Power Designer and Architect, FPGA and Microprocessor Power Architect, Filter Designer, Clock Architect and LED Architect.</w:t>
      </w:r>
    </w:p>
    <w:p w:rsidP="00000000" w:rsidRPr="00000000" w:rsidR="00000000" w:rsidDel="00000000" w:rsidRDefault="00000000">
      <w:pPr>
        <w:numPr>
          <w:ilvl w:val="0"/>
          <w:numId w:val="1"/>
        </w:numPr>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WEBENCH simulation test bench in Altium includes TI models and simulation settings.</w:t>
      </w:r>
    </w:p>
    <w:p w:rsidP="00000000" w:rsidRPr="00000000" w:rsidR="00000000" w:rsidDel="00000000" w:rsidRDefault="00000000">
      <w:pPr>
        <w:numPr>
          <w:ilvl w:val="0"/>
          <w:numId w:val="1"/>
        </w:numPr>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WEBENCH simulation engine provides fast and accurate analog circuit simulation for any circuit design inside Altium.</w:t>
      </w:r>
    </w:p>
    <w:p w:rsidP="00000000" w:rsidRPr="00000000" w:rsidR="00000000" w:rsidDel="00000000" w:rsidRDefault="00000000">
      <w:pPr>
        <w:ind w:left="720" w:firstLine="0"/>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contextualSpacing w:val="0"/>
        <w:rPr/>
      </w:pPr>
      <w:r w:rsidRPr="00000000" w:rsidR="00000000" w:rsidDel="00000000">
        <w:rPr>
          <w:rFonts w:cs="Calibri" w:hAnsi="Calibri" w:eastAsia="Calibri" w:ascii="Calibri"/>
          <w:b w:val="1"/>
          <w:rtl w:val="0"/>
        </w:rPr>
        <w:t xml:space="preserve">Pricing and Availability</w:t>
      </w:r>
    </w:p>
    <w:p w:rsidP="00000000" w:rsidRPr="00000000" w:rsidR="00000000" w:rsidDel="00000000" w:rsidRDefault="00000000">
      <w:pPr>
        <w:contextualSpacing w:val="0"/>
        <w:rPr/>
      </w:pPr>
      <w:r w:rsidRPr="00000000" w:rsidR="00000000" w:rsidDel="00000000">
        <w:rPr>
          <w:rFonts w:cs="Calibri" w:hAnsi="Calibri" w:eastAsia="Calibri" w:ascii="Calibri"/>
          <w:rtl w:val="0"/>
        </w:rPr>
        <w:t xml:space="preserve">WEBENCH® Altium Connector is available to all Altium Designer subscribers as a cost-free extension. For more information, visit this  </w:t>
      </w:r>
      <w:hyperlink r:id="rId10">
        <w:r w:rsidRPr="00000000" w:rsidR="00000000" w:rsidDel="00000000">
          <w:rPr>
            <w:rFonts w:cs="Calibri" w:hAnsi="Calibri" w:eastAsia="Calibri" w:ascii="Calibri"/>
            <w:color w:val="1155cc"/>
            <w:u w:val="single"/>
            <w:rtl w:val="0"/>
          </w:rPr>
          <w:t xml:space="preserve">blog</w:t>
        </w:r>
      </w:hyperlink>
      <w:r w:rsidRPr="00000000" w:rsidR="00000000" w:rsidDel="00000000">
        <w:rPr>
          <w:rFonts w:cs="Calibri" w:hAnsi="Calibri" w:eastAsia="Calibri" w:ascii="Calibri"/>
          <w:rtl w:val="0"/>
        </w:rPr>
        <w:t xml:space="preserve">. Tips and tricks on how to navigate WEBENCH Power Designer and Architect is available</w:t>
      </w:r>
      <w:hyperlink r:id="rId11">
        <w:r w:rsidRPr="00000000" w:rsidR="00000000" w:rsidDel="00000000">
          <w:rPr>
            <w:rFonts w:cs="Calibri" w:hAnsi="Calibri" w:eastAsia="Calibri" w:ascii="Calibri"/>
            <w:rtl w:val="0"/>
          </w:rPr>
          <w:t xml:space="preserve"> at</w:t>
        </w:r>
      </w:hyperlink>
      <w:r w:rsidRPr="00000000" w:rsidR="00000000" w:rsidDel="00000000">
        <w:rPr>
          <w:rFonts w:cs="Calibri" w:hAnsi="Calibri" w:eastAsia="Calibri" w:ascii="Calibri"/>
          <w:rtl w:val="0"/>
        </w:rPr>
        <w:t xml:space="preserve"> </w:t>
      </w:r>
      <w:hyperlink r:id="rId12">
        <w:r w:rsidRPr="00000000" w:rsidR="00000000" w:rsidDel="00000000">
          <w:rPr>
            <w:rFonts w:cs="Calibri" w:hAnsi="Calibri" w:eastAsia="Calibri" w:ascii="Calibri"/>
            <w:color w:val="1155cc"/>
            <w:u w:val="single"/>
            <w:rtl w:val="0"/>
          </w:rPr>
          <w:t xml:space="preserve">www.ti.com/altium-webench-pr</w:t>
        </w:r>
      </w:hyperlink>
      <w:r w:rsidRPr="00000000" w:rsidR="00000000" w:rsidDel="00000000">
        <w:rPr>
          <w:rFonts w:cs="Calibri" w:hAnsi="Calibri" w:eastAsia="Calibri" w:ascii="Calibri"/>
          <w:rtl w:val="0"/>
        </w:rPr>
        <w:t xml:space="preserve">.</w:t>
      </w:r>
    </w:p>
    <w:p w:rsidP="00000000" w:rsidRPr="00000000" w:rsidR="00000000" w:rsidDel="00000000" w:rsidRDefault="00000000">
      <w:pPr>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contextualSpacing w:val="0"/>
        <w:rPr/>
      </w:pPr>
      <w:r w:rsidRPr="00000000" w:rsidR="00000000" w:rsidDel="00000000">
        <w:rPr>
          <w:rFonts w:cs="Calibri" w:hAnsi="Calibri" w:eastAsia="Calibri" w:ascii="Calibri"/>
          <w:rtl w:val="0"/>
        </w:rPr>
        <w:t xml:space="preserve">ENDS</w:t>
      </w:r>
    </w:p>
    <w:p w:rsidP="00000000" w:rsidRPr="00000000" w:rsidR="00000000" w:rsidDel="00000000" w:rsidRDefault="00000000">
      <w:pPr>
        <w:widowControl w:val="0"/>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Contacts:</w:t>
      </w: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tl w:val="0"/>
        </w:rPr>
      </w:r>
    </w:p>
    <w:tbl>
      <w:tblPr>
        <w:tblStyle w:val="KixTable1"/>
        <w:bidiVisual w:val="0"/>
        <w:tblW w:w="9360.0" w:type="dxa"/>
        <w:jc w:val="left"/>
        <w:tblBorders>
          <w:top w:color="d9d9d9" w:space="0" w:val="single" w:sz="8"/>
          <w:left w:color="d9d9d9" w:space="0" w:val="single" w:sz="8"/>
          <w:bottom w:color="d9d9d9" w:space="0" w:val="single" w:sz="8"/>
          <w:right w:color="d9d9d9" w:space="0" w:val="single" w:sz="8"/>
          <w:insideH w:color="d9d9d9" w:space="0" w:val="single" w:sz="8"/>
          <w:insideV w:color="d9d9d9" w:space="0" w:val="single" w:sz="8"/>
        </w:tblBorders>
        <w:tblLayout w:type="fixed"/>
        <w:tblLook w:val="0600"/>
      </w:tblPr>
      <w:tblGrid>
        <w:gridCol w:w="1695"/>
        <w:gridCol w:w="3825"/>
        <w:gridCol w:w="3840"/>
      </w:tblGrid>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Americas</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Wendy Krugman</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The Hoffman Agency</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+1 408 859 6394</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wkrugman@hoffman.com</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Frank Krämer</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Altium Europe GmbH</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+49 721 8244 108</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frank.kraemer@altium.com</w:t>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EMEA</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Gabriele Amelunxen</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PRismaPR</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+49 8106 247 233</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info@prismapr.com</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Frank Krämer</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Altium Europe GmbH</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+49 721 8244 108</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frank.kraemer@altium.com</w:t>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Monika Cunnington</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PRismaPR (UK, Scandinavia, Benelux)</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+44-20 8133 6148</w:t>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rtl w:val="0"/>
              </w:rPr>
              <w:t xml:space="preserve">monika@prismapr.com</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APAC</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highlight w:val="white"/>
                <w:rtl w:val="0"/>
              </w:rPr>
              <w:t xml:space="preserve">Celine Han</w:t>
            </w:r>
          </w:p>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highlight w:val="white"/>
                <w:rtl w:val="0"/>
              </w:rPr>
              <w:t xml:space="preserve">Altium Public Relations</w:t>
            </w:r>
          </w:p>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highlight w:val="white"/>
                <w:rtl w:val="0"/>
              </w:rPr>
              <w:t xml:space="preserve">+86 186 1685 9685</w:t>
            </w:r>
          </w:p>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celine.han@altium.com</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Greater China</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王婷</w:t>
            </w:r>
          </w:p>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霍夫曼公关顾问（北京）有限公司</w:t>
            </w:r>
          </w:p>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电话: + 86 (0) 21 62033366-136</w:t>
            </w:r>
          </w:p>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电子邮件：</w:t>
            </w:r>
            <w:hyperlink r:id="rId13">
              <w:r w:rsidRPr="00000000" w:rsidR="00000000" w:rsidDel="00000000">
                <w:rPr>
                  <w:rFonts w:cs="Calibri" w:hAnsi="Calibri" w:eastAsia="Calibri" w:ascii="Calibri"/>
                  <w:u w:val="single"/>
                  <w:rtl w:val="0"/>
                </w:rPr>
                <w:t xml:space="preserve">dwang@hoffman.com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仓巍</w:t>
            </w:r>
          </w:p>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Altium中国</w:t>
            </w:r>
          </w:p>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电话：+86 21 6182 3922</w:t>
            </w:r>
          </w:p>
          <w:p w:rsidP="00000000" w:rsidRPr="00000000" w:rsidR="00000000" w:rsidDel="00000000" w:rsidRDefault="00000000">
            <w:pPr>
              <w:keepNext w:val="0"/>
              <w:keepLines w:val="0"/>
              <w:widowControl w:val="0"/>
              <w:spacing w:lineRule="auto" w:line="240"/>
              <w:contextualSpacing w:val="0"/>
              <w:jc w:val="both"/>
              <w:rPr/>
            </w:pPr>
            <w:r w:rsidRPr="00000000" w:rsidR="00000000" w:rsidDel="00000000">
              <w:rPr>
                <w:rFonts w:cs="Calibri" w:hAnsi="Calibri" w:eastAsia="Calibri" w:ascii="Calibri"/>
                <w:rtl w:val="0"/>
              </w:rPr>
              <w:t xml:space="preserve">电子邮件：</w:t>
            </w:r>
            <w:hyperlink r:id="rId14">
              <w:r w:rsidRPr="00000000" w:rsidR="00000000" w:rsidDel="00000000">
                <w:rPr>
                  <w:rFonts w:cs="Calibri" w:hAnsi="Calibri" w:eastAsia="Calibri" w:ascii="Calibri"/>
                  <w:u w:val="single"/>
                  <w:rtl w:val="0"/>
                </w:rPr>
                <w:t xml:space="preserve">max.cang@altium.com</w:t>
              </w:r>
            </w:hyperlink>
            <w:r w:rsidRPr="00000000" w:rsidR="00000000" w:rsidDel="00000000">
              <w:rPr>
                <w:rtl w:val="0"/>
              </w:rPr>
            </w:r>
          </w:p>
        </w:tc>
      </w:tr>
    </w:tbl>
    <w:p w:rsidP="00000000" w:rsidRPr="00000000" w:rsidR="00000000" w:rsidDel="00000000" w:rsidRDefault="00000000">
      <w:pPr>
        <w:keepNext w:val="0"/>
        <w:keepLines w:val="0"/>
        <w:widowControl w:val="0"/>
        <w:spacing w:lineRule="auto" w:line="240"/>
        <w:contextualSpacing w:val="0"/>
        <w:rPr/>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Fonts w:cs="Calibri" w:hAnsi="Calibri" w:eastAsia="Calibri" w:ascii="Calibri"/>
          <w:b w:val="1"/>
          <w:rtl w:val="0"/>
        </w:rPr>
        <w:t xml:space="preserve">ABOUT ALTIUM</w:t>
      </w: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rtl w:val="0"/>
        </w:rPr>
        <w:t xml:space="preserve">Altium Limited (ASX: ALU) is an Australian multinational software corporation that focuses on 3D PCB design, electronics design and embedded system development software.</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Altium Designer, a unified electronics design environment links all aspects of smart systems design in a single application that is priced as affordable as possible. Altium's embedded software compilers are used around the globe by carmakers and the world's largest automotive Tier-1 suppliers. With this unique range of technologies Altium enables electronics designers to innovate, harness the latest devices and technologies, manage their projects across broad design ‘ecosystems’, and create connected, intelligent products.</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Founded in 1985, Altium has offices worldwide, with US locations in San Diego and Boston, European locations in Karlsruhe, Amersfoort and Kiev and Asia-Pacific locations in Shanghai, Tokyo and Sydney. For more information, visit</w:t>
      </w:r>
      <w:hyperlink r:id="rId15">
        <w:r w:rsidRPr="00000000" w:rsidR="00000000" w:rsidDel="00000000">
          <w:rPr>
            <w:rFonts w:cs="Calibri" w:hAnsi="Calibri" w:eastAsia="Calibri" w:ascii="Calibri"/>
            <w:color w:val="1155cc"/>
            <w:u w:val="single"/>
            <w:rtl w:val="0"/>
          </w:rPr>
          <w:t xml:space="preserve"> www.altium.com</w:t>
        </w:r>
      </w:hyperlink>
      <w:r w:rsidRPr="00000000" w:rsidR="00000000" w:rsidDel="00000000">
        <w:rPr>
          <w:rFonts w:cs="Calibri" w:hAnsi="Calibri" w:eastAsia="Calibri" w:ascii="Calibri"/>
          <w:rtl w:val="0"/>
        </w:rPr>
        <w:t xml:space="preserve">. You can also follow and engage with Altium via</w:t>
      </w:r>
      <w:hyperlink r:id="rId16">
        <w:r w:rsidRPr="00000000" w:rsidR="00000000" w:rsidDel="00000000">
          <w:rPr>
            <w:rFonts w:cs="Calibri" w:hAnsi="Calibri" w:eastAsia="Calibri" w:ascii="Calibri"/>
            <w:color w:val="1155cc"/>
            <w:u w:val="single"/>
            <w:rtl w:val="0"/>
          </w:rPr>
          <w:t xml:space="preserve"> Facebook</w:t>
        </w:r>
      </w:hyperlink>
      <w:r w:rsidRPr="00000000" w:rsidR="00000000" w:rsidDel="00000000">
        <w:rPr>
          <w:rFonts w:cs="Calibri" w:hAnsi="Calibri" w:eastAsia="Calibri" w:ascii="Calibri"/>
          <w:rtl w:val="0"/>
        </w:rPr>
        <w:t xml:space="preserve">,</w:t>
      </w:r>
      <w:hyperlink r:id="rId17">
        <w:r w:rsidRPr="00000000" w:rsidR="00000000" w:rsidDel="00000000">
          <w:rPr>
            <w:rFonts w:cs="Calibri" w:hAnsi="Calibri" w:eastAsia="Calibri" w:ascii="Calibri"/>
            <w:color w:val="1155cc"/>
            <w:u w:val="single"/>
            <w:rtl w:val="0"/>
          </w:rPr>
          <w:t xml:space="preserve"> Twitter</w:t>
        </w:r>
      </w:hyperlink>
      <w:r w:rsidRPr="00000000" w:rsidR="00000000" w:rsidDel="00000000">
        <w:rPr>
          <w:rFonts w:cs="Calibri" w:hAnsi="Calibri" w:eastAsia="Calibri" w:ascii="Calibri"/>
          <w:rtl w:val="0"/>
        </w:rPr>
        <w:t xml:space="preserve"> and</w:t>
      </w:r>
      <w:hyperlink r:id="rId18">
        <w:r w:rsidRPr="00000000" w:rsidR="00000000" w:rsidDel="00000000">
          <w:rPr>
            <w:rFonts w:cs="Calibri" w:hAnsi="Calibri" w:eastAsia="Calibri" w:ascii="Calibri"/>
            <w:color w:val="1155cc"/>
            <w:u w:val="single"/>
            <w:rtl w:val="0"/>
          </w:rPr>
          <w:t xml:space="preserve"> YouTube</w:t>
        </w:r>
      </w:hyperlink>
      <w:r w:rsidRPr="00000000" w:rsidR="00000000" w:rsidDel="00000000">
        <w:rPr>
          <w:rFonts w:cs="Calibri" w:hAnsi="Calibri" w:eastAsia="Calibri" w:ascii="Calibri"/>
          <w:rtl w:val="0"/>
        </w:rPr>
        <w:t xml:space="preserve">.</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b w:val="1"/>
          <w:rtl w:val="0"/>
        </w:rPr>
        <w:t xml:space="preserve">Trademarks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WEBENCH is a registered trademark of Texas Instruments.</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 w:styleId="Kix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http://www.youtube.com/altiumofficial" Type="http://schemas.openxmlformats.org/officeDocument/2006/relationships/hyperlink" TargetMode="External" Id="rId18"/><Relationship Target="https://twitter.com/#!/altium" Type="http://schemas.openxmlformats.org/officeDocument/2006/relationships/hyperlink" TargetMode="External" Id="rId17"/><Relationship Target="http://www.facebook.com/pages/Altium/106726426049146" Type="http://schemas.openxmlformats.org/officeDocument/2006/relationships/hyperlink" TargetMode="External" Id="rId16"/><Relationship Target="http://www.altium.com/" Type="http://schemas.openxmlformats.org/officeDocument/2006/relationships/hyperlink" TargetMode="External" Id="rId15"/><Relationship Target="mailto:max.cang@altium.com" Type="http://schemas.openxmlformats.org/officeDocument/2006/relationships/hyperlink" TargetMode="External" Id="rId14"/><Relationship Target="fontTable.xml" Type="http://schemas.openxmlformats.org/officeDocument/2006/relationships/fontTable" Id="rId2"/><Relationship Target="http://www.ti.com/altium-webench-pr" Type="http://schemas.openxmlformats.org/officeDocument/2006/relationships/hyperlink" TargetMode="External" Id="rId12"/><Relationship Target="mailto:dwang@hoffman.com" Type="http://schemas.openxmlformats.org/officeDocument/2006/relationships/hyperlink" TargetMode="External" Id="rId13"/><Relationship Target="settings.xml" Type="http://schemas.openxmlformats.org/officeDocument/2006/relationships/settings" Id="rId1"/><Relationship Target="styles.xml" Type="http://schemas.openxmlformats.org/officeDocument/2006/relationships/styles" Id="rId4"/><Relationship Target="http://blog.live.altium.com/#Blogs/ti-webench-release" Type="http://schemas.openxmlformats.org/officeDocument/2006/relationships/hyperlink" TargetMode="External" Id="rId10"/><Relationship Target="numbering.xml" Type="http://schemas.openxmlformats.org/officeDocument/2006/relationships/numbering" Id="rId3"/><Relationship Target="http://www.ti.com/lsds/ti/analog/webench/help-overview.page" Type="http://schemas.openxmlformats.org/officeDocument/2006/relationships/hyperlink" TargetMode="External" Id="rId11"/><Relationship Target="http://www.ti.com/" Type="http://schemas.openxmlformats.org/officeDocument/2006/relationships/hyperlink" TargetMode="External" Id="rId9"/><Relationship Target="http://www.altium.com/" Type="http://schemas.openxmlformats.org/officeDocument/2006/relationships/hyperlink" TargetMode="External" Id="rId6"/><Relationship Target="http://www.altium.com/" Type="http://schemas.openxmlformats.org/officeDocument/2006/relationships/hyperlink" TargetMode="External" Id="rId5"/><Relationship Target="http://www.tasking.com/" Type="http://schemas.openxmlformats.org/officeDocument/2006/relationships/hyperlink" TargetMode="External" Id="rId8"/><Relationship Target="http://products.live.altium.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and Texas Instruments announcement (EN).docx</dc:title>
</cp:coreProperties>
</file>