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13C0" w14:textId="6B84C70C" w:rsidR="00437038" w:rsidRDefault="00DE63C7" w:rsidP="00CF5C4C">
      <w:pPr>
        <w:ind w:right="90"/>
        <w:rPr>
          <w:b/>
          <w:sz w:val="22"/>
          <w:szCs w:val="22"/>
        </w:rPr>
      </w:pPr>
      <w:r w:rsidRPr="00CF5C4C">
        <w:rPr>
          <w:b/>
          <w:sz w:val="22"/>
          <w:szCs w:val="22"/>
        </w:rPr>
        <w:t xml:space="preserve">Summary of Testimony to the Health and Senior Services Committee of the NJ State Assembly, </w:t>
      </w:r>
      <w:r w:rsidR="005C567D" w:rsidRPr="00CF5C4C">
        <w:rPr>
          <w:b/>
          <w:sz w:val="22"/>
          <w:szCs w:val="22"/>
        </w:rPr>
        <w:t>June 5, 2014</w:t>
      </w:r>
      <w:r w:rsidRPr="00CF5C4C">
        <w:rPr>
          <w:b/>
          <w:sz w:val="22"/>
          <w:szCs w:val="22"/>
        </w:rPr>
        <w:t>, by Anne L. H. Studholme</w:t>
      </w:r>
      <w:r w:rsidR="00B61A5B" w:rsidRPr="00CF5C4C">
        <w:rPr>
          <w:b/>
          <w:sz w:val="22"/>
          <w:szCs w:val="22"/>
        </w:rPr>
        <w:t>, commenting on and opposing A-</w:t>
      </w:r>
      <w:r w:rsidR="005C567D" w:rsidRPr="00CF5C4C">
        <w:rPr>
          <w:b/>
          <w:sz w:val="22"/>
          <w:szCs w:val="22"/>
        </w:rPr>
        <w:t xml:space="preserve">2270, </w:t>
      </w:r>
      <w:r w:rsidR="00B61A5B" w:rsidRPr="00CF5C4C">
        <w:rPr>
          <w:b/>
          <w:sz w:val="22"/>
          <w:szCs w:val="22"/>
        </w:rPr>
        <w:t>the “</w:t>
      </w:r>
      <w:r w:rsidR="0050635B" w:rsidRPr="00CF5C4C">
        <w:rPr>
          <w:b/>
          <w:sz w:val="22"/>
          <w:szCs w:val="22"/>
        </w:rPr>
        <w:t xml:space="preserve">New Jersey </w:t>
      </w:r>
      <w:r w:rsidR="00B61A5B" w:rsidRPr="00CF5C4C">
        <w:rPr>
          <w:b/>
          <w:sz w:val="22"/>
          <w:szCs w:val="22"/>
        </w:rPr>
        <w:t>Death with Dignity Act</w:t>
      </w:r>
      <w:r w:rsidRPr="00CF5C4C">
        <w:rPr>
          <w:b/>
          <w:sz w:val="22"/>
          <w:szCs w:val="22"/>
        </w:rPr>
        <w:t>.</w:t>
      </w:r>
      <w:r w:rsidR="00B61A5B" w:rsidRPr="00CF5C4C">
        <w:rPr>
          <w:b/>
          <w:sz w:val="22"/>
          <w:szCs w:val="22"/>
        </w:rPr>
        <w:t>”</w:t>
      </w:r>
    </w:p>
    <w:p w14:paraId="2C396001" w14:textId="77777777" w:rsidR="00437038" w:rsidRDefault="00437038" w:rsidP="00CF5C4C">
      <w:pPr>
        <w:ind w:right="90"/>
        <w:rPr>
          <w:b/>
          <w:sz w:val="22"/>
          <w:szCs w:val="22"/>
        </w:rPr>
      </w:pPr>
    </w:p>
    <w:p w14:paraId="6A6EEEA2" w14:textId="3B9D0265" w:rsidR="00437038" w:rsidRDefault="00437038" w:rsidP="00437038">
      <w:pPr>
        <w:widowControl w:val="0"/>
        <w:autoSpaceDE w:val="0"/>
        <w:autoSpaceDN w:val="0"/>
        <w:adjustRightInd w:val="0"/>
        <w:spacing w:after="240"/>
        <w:ind w:right="90"/>
        <w:rPr>
          <w:rFonts w:cs="Arial"/>
          <w:b/>
          <w:sz w:val="22"/>
          <w:szCs w:val="22"/>
        </w:rPr>
      </w:pPr>
      <w:r w:rsidRPr="00437038">
        <w:rPr>
          <w:rFonts w:cs="Arial"/>
          <w:b/>
          <w:sz w:val="22"/>
          <w:szCs w:val="22"/>
        </w:rPr>
        <w:t xml:space="preserve">Every major disability group that has taken a position on </w:t>
      </w:r>
      <w:bookmarkStart w:id="0" w:name="_GoBack"/>
      <w:bookmarkEnd w:id="0"/>
      <w:r w:rsidRPr="00437038">
        <w:rPr>
          <w:rFonts w:cs="Arial"/>
          <w:b/>
          <w:sz w:val="22"/>
          <w:szCs w:val="22"/>
        </w:rPr>
        <w:t>assist</w:t>
      </w:r>
      <w:r>
        <w:rPr>
          <w:rFonts w:cs="Arial"/>
          <w:b/>
          <w:sz w:val="22"/>
          <w:szCs w:val="22"/>
        </w:rPr>
        <w:t>ed suicide opposes legalization, including:</w:t>
      </w:r>
    </w:p>
    <w:p w14:paraId="04627C21" w14:textId="3CC5AFDE" w:rsidR="00437038" w:rsidRDefault="00437038" w:rsidP="008C42F8">
      <w:pPr>
        <w:widowControl w:val="0"/>
        <w:autoSpaceDE w:val="0"/>
        <w:autoSpaceDN w:val="0"/>
        <w:adjustRightInd w:val="0"/>
        <w:spacing w:after="240"/>
        <w:ind w:left="450" w:right="90"/>
        <w:contextualSpacing/>
        <w:rPr>
          <w:rFonts w:cs="Arial"/>
          <w:b/>
          <w:sz w:val="22"/>
          <w:szCs w:val="22"/>
        </w:rPr>
      </w:pPr>
      <w:r w:rsidRPr="00437038">
        <w:rPr>
          <w:rFonts w:cs="Arial"/>
          <w:b/>
          <w:sz w:val="22"/>
          <w:szCs w:val="22"/>
        </w:rPr>
        <w:t>ADAPT (American Disabled for Attendant Programs Today)</w:t>
      </w:r>
    </w:p>
    <w:p w14:paraId="5140ADF1" w14:textId="0ACA48CA" w:rsidR="00437038" w:rsidRDefault="00437038">
      <w:pPr>
        <w:widowControl w:val="0"/>
        <w:autoSpaceDE w:val="0"/>
        <w:autoSpaceDN w:val="0"/>
        <w:adjustRightInd w:val="0"/>
        <w:spacing w:after="240"/>
        <w:ind w:left="450" w:right="86"/>
        <w:contextualSpacing/>
        <w:rPr>
          <w:rFonts w:cs="Arial"/>
          <w:b/>
          <w:sz w:val="22"/>
          <w:szCs w:val="22"/>
        </w:rPr>
      </w:pPr>
      <w:r>
        <w:rPr>
          <w:rFonts w:cs="Arial"/>
          <w:b/>
          <w:sz w:val="22"/>
          <w:szCs w:val="22"/>
        </w:rPr>
        <w:t>Association</w:t>
      </w:r>
      <w:r w:rsidRPr="00437038">
        <w:rPr>
          <w:rFonts w:cs="Arial"/>
          <w:b/>
          <w:sz w:val="22"/>
          <w:szCs w:val="22"/>
        </w:rPr>
        <w:t xml:space="preserve"> of Programs for Rural Independent Living</w:t>
      </w:r>
    </w:p>
    <w:p w14:paraId="395DD9FB"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Autistic Self Advocacy Network</w:t>
      </w:r>
    </w:p>
    <w:p w14:paraId="60804D72"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Disability Rights Education and Defense Fund</w:t>
      </w:r>
    </w:p>
    <w:p w14:paraId="3527F165"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Justice For All</w:t>
      </w:r>
    </w:p>
    <w:p w14:paraId="58648782"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National Council on Disability</w:t>
      </w:r>
    </w:p>
    <w:p w14:paraId="23AF5B92"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National Council on Independent Living</w:t>
      </w:r>
    </w:p>
    <w:p w14:paraId="1958C59C"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National Spinal Cord Injury Association</w:t>
      </w:r>
    </w:p>
    <w:p w14:paraId="7DA1B5C7"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Not Dead Yet</w:t>
      </w:r>
    </w:p>
    <w:p w14:paraId="3FC797C4"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TASH</w:t>
      </w:r>
    </w:p>
    <w:p w14:paraId="6716196F" w14:textId="77777777" w:rsidR="00437038" w:rsidRP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The World Association of Persons with Disabilities</w:t>
      </w:r>
    </w:p>
    <w:p w14:paraId="55DAB25B" w14:textId="77777777" w:rsidR="00437038" w:rsidRDefault="00437038">
      <w:pPr>
        <w:widowControl w:val="0"/>
        <w:autoSpaceDE w:val="0"/>
        <w:autoSpaceDN w:val="0"/>
        <w:adjustRightInd w:val="0"/>
        <w:spacing w:after="240"/>
        <w:ind w:left="450" w:right="86"/>
        <w:contextualSpacing/>
        <w:rPr>
          <w:rFonts w:cs="Arial"/>
          <w:b/>
          <w:sz w:val="22"/>
          <w:szCs w:val="22"/>
        </w:rPr>
      </w:pPr>
      <w:r w:rsidRPr="00437038">
        <w:rPr>
          <w:rFonts w:cs="Arial"/>
          <w:b/>
          <w:sz w:val="22"/>
          <w:szCs w:val="22"/>
        </w:rPr>
        <w:t>The World Institute on Disability</w:t>
      </w:r>
    </w:p>
    <w:p w14:paraId="61020CC4" w14:textId="77777777" w:rsidR="00DE63C7" w:rsidRDefault="00DE63C7" w:rsidP="00CF5C4C">
      <w:pPr>
        <w:ind w:right="90"/>
        <w:rPr>
          <w:b/>
          <w:sz w:val="22"/>
          <w:szCs w:val="22"/>
        </w:rPr>
      </w:pPr>
    </w:p>
    <w:p w14:paraId="4AC16874" w14:textId="78D0F870" w:rsidR="00437038" w:rsidRPr="00CF5C4C" w:rsidRDefault="00437038" w:rsidP="00CF5C4C">
      <w:pPr>
        <w:ind w:right="90"/>
        <w:rPr>
          <w:b/>
          <w:sz w:val="22"/>
          <w:szCs w:val="22"/>
        </w:rPr>
      </w:pPr>
      <w:r>
        <w:rPr>
          <w:b/>
          <w:sz w:val="22"/>
          <w:szCs w:val="22"/>
        </w:rPr>
        <w:t>Reasons we oppose the bill:</w:t>
      </w:r>
    </w:p>
    <w:p w14:paraId="11E7A87D" w14:textId="77777777" w:rsidR="00B61A5B" w:rsidRPr="00CF5C4C" w:rsidRDefault="00B61A5B" w:rsidP="00CF5C4C">
      <w:pPr>
        <w:ind w:right="90"/>
        <w:rPr>
          <w:sz w:val="22"/>
          <w:szCs w:val="22"/>
        </w:rPr>
      </w:pPr>
    </w:p>
    <w:p w14:paraId="4198AD68" w14:textId="608BBA4F" w:rsidR="007E75C8" w:rsidRPr="00CF5C4C" w:rsidRDefault="00F34D22" w:rsidP="00CF5C4C">
      <w:pPr>
        <w:widowControl w:val="0"/>
        <w:autoSpaceDE w:val="0"/>
        <w:autoSpaceDN w:val="0"/>
        <w:adjustRightInd w:val="0"/>
        <w:spacing w:after="240"/>
        <w:ind w:right="90"/>
        <w:rPr>
          <w:rFonts w:cs="Times New Roman"/>
          <w:b/>
          <w:sz w:val="22"/>
          <w:szCs w:val="22"/>
        </w:rPr>
      </w:pPr>
      <w:r w:rsidRPr="00CF5C4C">
        <w:rPr>
          <w:rFonts w:cs="Arial"/>
          <w:b/>
          <w:sz w:val="22"/>
          <w:szCs w:val="22"/>
        </w:rPr>
        <w:t xml:space="preserve">1.  </w:t>
      </w:r>
      <w:r w:rsidR="00CA01AA" w:rsidRPr="00CF5C4C">
        <w:rPr>
          <w:rFonts w:cs="Arial"/>
          <w:b/>
          <w:sz w:val="22"/>
          <w:szCs w:val="22"/>
        </w:rPr>
        <w:t>The</w:t>
      </w:r>
      <w:r w:rsidR="006A0626" w:rsidRPr="00CF5C4C">
        <w:rPr>
          <w:rFonts w:cs="Arial"/>
          <w:b/>
          <w:sz w:val="22"/>
          <w:szCs w:val="22"/>
        </w:rPr>
        <w:t xml:space="preserve"> proposed</w:t>
      </w:r>
      <w:r w:rsidR="00A20DBD" w:rsidRPr="00CF5C4C">
        <w:rPr>
          <w:rFonts w:cs="Arial"/>
          <w:b/>
          <w:sz w:val="22"/>
          <w:szCs w:val="22"/>
        </w:rPr>
        <w:t xml:space="preserve"> “New Jersey Death with Dignity Act”</w:t>
      </w:r>
      <w:r w:rsidR="00A20DBD" w:rsidRPr="00CF5C4C">
        <w:rPr>
          <w:rFonts w:cs="Times New Roman"/>
          <w:b/>
          <w:sz w:val="22"/>
          <w:szCs w:val="22"/>
        </w:rPr>
        <w:t xml:space="preserve"> immuni</w:t>
      </w:r>
      <w:r w:rsidR="00CA01AA" w:rsidRPr="00CF5C4C">
        <w:rPr>
          <w:rFonts w:cs="Times New Roman"/>
          <w:b/>
          <w:sz w:val="22"/>
          <w:szCs w:val="22"/>
        </w:rPr>
        <w:t>zes</w:t>
      </w:r>
      <w:r w:rsidR="00A20DBD" w:rsidRPr="00CF5C4C">
        <w:rPr>
          <w:rFonts w:cs="Times New Roman"/>
          <w:b/>
          <w:sz w:val="22"/>
          <w:szCs w:val="22"/>
        </w:rPr>
        <w:t xml:space="preserve"> physicians </w:t>
      </w:r>
      <w:r w:rsidR="00CA01AA" w:rsidRPr="00CF5C4C">
        <w:rPr>
          <w:rFonts w:cs="Times New Roman"/>
          <w:b/>
          <w:sz w:val="22"/>
          <w:szCs w:val="22"/>
        </w:rPr>
        <w:t xml:space="preserve">and other health-care personnel, including pharmacists and nursing home operators, </w:t>
      </w:r>
      <w:r w:rsidR="00A20DBD" w:rsidRPr="00CF5C4C">
        <w:rPr>
          <w:rFonts w:cs="Times New Roman"/>
          <w:b/>
          <w:sz w:val="22"/>
          <w:szCs w:val="22"/>
        </w:rPr>
        <w:t xml:space="preserve">for assisting the suicides of persons </w:t>
      </w:r>
      <w:r w:rsidR="001D6524" w:rsidRPr="00CF5C4C">
        <w:rPr>
          <w:rFonts w:cs="Times New Roman"/>
          <w:b/>
          <w:sz w:val="22"/>
          <w:szCs w:val="22"/>
        </w:rPr>
        <w:t>diagnosed as</w:t>
      </w:r>
      <w:r w:rsidR="00A20DBD" w:rsidRPr="00CF5C4C">
        <w:rPr>
          <w:rFonts w:cs="Times New Roman"/>
          <w:b/>
          <w:sz w:val="22"/>
          <w:szCs w:val="22"/>
        </w:rPr>
        <w:t xml:space="preserve"> </w:t>
      </w:r>
      <w:r w:rsidR="001D6524" w:rsidRPr="00CF5C4C">
        <w:rPr>
          <w:rFonts w:cs="Times New Roman"/>
          <w:b/>
          <w:sz w:val="22"/>
          <w:szCs w:val="22"/>
        </w:rPr>
        <w:t>“</w:t>
      </w:r>
      <w:r w:rsidR="00A20DBD" w:rsidRPr="00CF5C4C">
        <w:rPr>
          <w:rFonts w:cs="Times New Roman"/>
          <w:b/>
          <w:sz w:val="22"/>
          <w:szCs w:val="22"/>
        </w:rPr>
        <w:t>terminal</w:t>
      </w:r>
      <w:r w:rsidR="00CA01AA" w:rsidRPr="00CF5C4C">
        <w:rPr>
          <w:rFonts w:cs="Times New Roman"/>
          <w:b/>
          <w:sz w:val="22"/>
          <w:szCs w:val="22"/>
        </w:rPr>
        <w:t>.</w:t>
      </w:r>
      <w:r w:rsidR="001D6524" w:rsidRPr="00CF5C4C">
        <w:rPr>
          <w:rFonts w:cs="Times New Roman"/>
          <w:b/>
          <w:sz w:val="22"/>
          <w:szCs w:val="22"/>
        </w:rPr>
        <w:t>”</w:t>
      </w:r>
      <w:r w:rsidR="00A20DBD" w:rsidRPr="00CF5C4C">
        <w:rPr>
          <w:rFonts w:cs="Times New Roman"/>
          <w:b/>
          <w:sz w:val="22"/>
          <w:szCs w:val="22"/>
        </w:rPr>
        <w:t xml:space="preserve"> </w:t>
      </w:r>
    </w:p>
    <w:p w14:paraId="29728643" w14:textId="6AFBA79A" w:rsidR="00CA01AA" w:rsidRPr="00CF5C4C" w:rsidRDefault="00F34D22" w:rsidP="00CF5C4C">
      <w:pPr>
        <w:widowControl w:val="0"/>
        <w:autoSpaceDE w:val="0"/>
        <w:autoSpaceDN w:val="0"/>
        <w:adjustRightInd w:val="0"/>
        <w:spacing w:after="240"/>
        <w:ind w:left="450" w:right="90"/>
        <w:rPr>
          <w:rFonts w:cs="Times New Roman"/>
          <w:sz w:val="22"/>
          <w:szCs w:val="22"/>
        </w:rPr>
      </w:pPr>
      <w:r w:rsidRPr="00CF5C4C">
        <w:rPr>
          <w:rFonts w:cs="Times New Roman"/>
          <w:sz w:val="22"/>
          <w:szCs w:val="22"/>
        </w:rPr>
        <w:t xml:space="preserve">*  </w:t>
      </w:r>
      <w:r w:rsidR="00CA01AA" w:rsidRPr="00CF5C4C">
        <w:rPr>
          <w:rFonts w:cs="Times New Roman"/>
          <w:sz w:val="22"/>
          <w:szCs w:val="22"/>
        </w:rPr>
        <w:t>This bill carves out an exception to New Jersey’s criminalization of participati</w:t>
      </w:r>
      <w:r w:rsidR="006A0626" w:rsidRPr="00CF5C4C">
        <w:rPr>
          <w:rFonts w:cs="Times New Roman"/>
          <w:sz w:val="22"/>
          <w:szCs w:val="22"/>
        </w:rPr>
        <w:t>on</w:t>
      </w:r>
      <w:r w:rsidR="00CA01AA" w:rsidRPr="00CF5C4C">
        <w:rPr>
          <w:rFonts w:cs="Times New Roman"/>
          <w:sz w:val="22"/>
          <w:szCs w:val="22"/>
        </w:rPr>
        <w:t xml:space="preserve"> in the “suicide” of another person. </w:t>
      </w:r>
      <w:r w:rsidR="00A20DBD" w:rsidRPr="00CF5C4C">
        <w:rPr>
          <w:rFonts w:cs="Times New Roman"/>
          <w:sz w:val="22"/>
          <w:szCs w:val="22"/>
        </w:rPr>
        <w:t>The Act would permit doctors</w:t>
      </w:r>
      <w:r w:rsidR="00CA01AA" w:rsidRPr="00CF5C4C">
        <w:rPr>
          <w:rFonts w:cs="Times New Roman"/>
          <w:sz w:val="22"/>
          <w:szCs w:val="22"/>
        </w:rPr>
        <w:t>, nursing home operators, family members, and heirs</w:t>
      </w:r>
      <w:r w:rsidR="00A20DBD" w:rsidRPr="00CF5C4C">
        <w:rPr>
          <w:rFonts w:cs="Times New Roman"/>
          <w:sz w:val="22"/>
          <w:szCs w:val="22"/>
        </w:rPr>
        <w:t xml:space="preserve"> to affirmatively facilitate suicide, an act that would be a crime but for the </w:t>
      </w:r>
      <w:r w:rsidR="005C567D" w:rsidRPr="00CF5C4C">
        <w:rPr>
          <w:rFonts w:cs="Times New Roman"/>
          <w:sz w:val="22"/>
          <w:szCs w:val="22"/>
        </w:rPr>
        <w:t xml:space="preserve">suicidal </w:t>
      </w:r>
      <w:r w:rsidR="00A20DBD" w:rsidRPr="00CF5C4C">
        <w:rPr>
          <w:rFonts w:cs="Times New Roman"/>
          <w:sz w:val="22"/>
          <w:szCs w:val="22"/>
        </w:rPr>
        <w:t>person</w:t>
      </w:r>
      <w:r w:rsidR="007E75C8" w:rsidRPr="00CF5C4C">
        <w:rPr>
          <w:rFonts w:cs="Times New Roman"/>
          <w:sz w:val="22"/>
          <w:szCs w:val="22"/>
        </w:rPr>
        <w:t>’</w:t>
      </w:r>
      <w:r w:rsidR="00A20DBD" w:rsidRPr="00CF5C4C">
        <w:rPr>
          <w:rFonts w:cs="Times New Roman"/>
          <w:sz w:val="22"/>
          <w:szCs w:val="22"/>
        </w:rPr>
        <w:t xml:space="preserve">s </w:t>
      </w:r>
      <w:r w:rsidR="00B85044" w:rsidRPr="00CF5C4C">
        <w:rPr>
          <w:rFonts w:cs="Times New Roman"/>
          <w:sz w:val="22"/>
          <w:szCs w:val="22"/>
        </w:rPr>
        <w:t>diagnosis and</w:t>
      </w:r>
      <w:r w:rsidR="007E75C8" w:rsidRPr="00CF5C4C">
        <w:rPr>
          <w:rFonts w:cs="Times New Roman"/>
          <w:sz w:val="22"/>
          <w:szCs w:val="22"/>
        </w:rPr>
        <w:t xml:space="preserve"> </w:t>
      </w:r>
      <w:r w:rsidR="00A20DBD" w:rsidRPr="00CF5C4C">
        <w:rPr>
          <w:rFonts w:cs="Times New Roman"/>
          <w:sz w:val="22"/>
          <w:szCs w:val="22"/>
        </w:rPr>
        <w:t>disability.</w:t>
      </w:r>
      <w:r w:rsidR="00826198" w:rsidRPr="00CF5C4C">
        <w:rPr>
          <w:rFonts w:cs="Times New Roman"/>
          <w:sz w:val="22"/>
          <w:szCs w:val="22"/>
        </w:rPr>
        <w:t xml:space="preserve">  </w:t>
      </w:r>
    </w:p>
    <w:p w14:paraId="72EC9123" w14:textId="782CB896" w:rsidR="00F34D22" w:rsidRPr="00CF5C4C" w:rsidRDefault="00F34D22" w:rsidP="00CF5C4C">
      <w:pPr>
        <w:widowControl w:val="0"/>
        <w:autoSpaceDE w:val="0"/>
        <w:autoSpaceDN w:val="0"/>
        <w:adjustRightInd w:val="0"/>
        <w:spacing w:after="240"/>
        <w:ind w:left="450" w:right="90"/>
        <w:rPr>
          <w:rFonts w:cs="Times New Roman"/>
          <w:sz w:val="22"/>
          <w:szCs w:val="22"/>
        </w:rPr>
      </w:pPr>
      <w:r w:rsidRPr="00CF5C4C">
        <w:rPr>
          <w:rFonts w:cs="Times New Roman"/>
          <w:sz w:val="22"/>
          <w:szCs w:val="22"/>
        </w:rPr>
        <w:t xml:space="preserve">*  </w:t>
      </w:r>
      <w:r w:rsidR="00826198" w:rsidRPr="00CF5C4C">
        <w:rPr>
          <w:rFonts w:cs="Times New Roman"/>
          <w:sz w:val="22"/>
          <w:szCs w:val="22"/>
        </w:rPr>
        <w:t xml:space="preserve">Indeed, the </w:t>
      </w:r>
      <w:r w:rsidR="00826198" w:rsidRPr="00CF5C4C">
        <w:rPr>
          <w:rFonts w:cs="Times"/>
          <w:sz w:val="22"/>
          <w:szCs w:val="22"/>
        </w:rPr>
        <w:t>Act</w:t>
      </w:r>
      <w:r w:rsidR="00826198" w:rsidRPr="00CF5C4C">
        <w:rPr>
          <w:rFonts w:cs="Times New Roman"/>
          <w:sz w:val="22"/>
          <w:szCs w:val="22"/>
        </w:rPr>
        <w:t xml:space="preserve"> guarantees these </w:t>
      </w:r>
      <w:r w:rsidR="00E51C6B" w:rsidRPr="00CF5C4C">
        <w:rPr>
          <w:rFonts w:cs="Times New Roman"/>
          <w:sz w:val="22"/>
          <w:szCs w:val="22"/>
        </w:rPr>
        <w:t xml:space="preserve">suicide attempts will succeed, </w:t>
      </w:r>
      <w:r w:rsidR="00826198" w:rsidRPr="00CF5C4C">
        <w:rPr>
          <w:rFonts w:cs="Times New Roman"/>
          <w:sz w:val="22"/>
          <w:szCs w:val="22"/>
        </w:rPr>
        <w:t>unlike those of the</w:t>
      </w:r>
      <w:r w:rsidR="00826198" w:rsidRPr="00CF5C4C">
        <w:rPr>
          <w:rFonts w:cs="Times"/>
          <w:sz w:val="22"/>
          <w:szCs w:val="22"/>
        </w:rPr>
        <w:t xml:space="preserve"> </w:t>
      </w:r>
      <w:r w:rsidR="00826198" w:rsidRPr="00CF5C4C">
        <w:rPr>
          <w:rFonts w:cs="Times New Roman"/>
          <w:sz w:val="22"/>
          <w:szCs w:val="22"/>
        </w:rPr>
        <w:t xml:space="preserve">majority of other persons with suicidal ideation. </w:t>
      </w:r>
    </w:p>
    <w:p w14:paraId="76EC5626" w14:textId="66B24847" w:rsidR="00F92914" w:rsidRPr="00CF5C4C" w:rsidRDefault="00F34D22" w:rsidP="00CF5C4C">
      <w:pPr>
        <w:widowControl w:val="0"/>
        <w:autoSpaceDE w:val="0"/>
        <w:autoSpaceDN w:val="0"/>
        <w:adjustRightInd w:val="0"/>
        <w:spacing w:after="240"/>
        <w:ind w:left="450" w:right="90"/>
        <w:rPr>
          <w:rFonts w:cs="Times New Roman"/>
          <w:sz w:val="22"/>
          <w:szCs w:val="22"/>
        </w:rPr>
      </w:pPr>
      <w:r w:rsidRPr="00CF5C4C">
        <w:rPr>
          <w:rFonts w:cs="Times New Roman"/>
          <w:sz w:val="22"/>
          <w:szCs w:val="22"/>
        </w:rPr>
        <w:t xml:space="preserve">*  </w:t>
      </w:r>
      <w:r w:rsidR="00826198" w:rsidRPr="00CF5C4C">
        <w:rPr>
          <w:rFonts w:cs="Times New Roman"/>
          <w:sz w:val="22"/>
          <w:szCs w:val="22"/>
        </w:rPr>
        <w:t xml:space="preserve">A practice that the State otherwise </w:t>
      </w:r>
      <w:r w:rsidR="00CA01AA" w:rsidRPr="00CF5C4C">
        <w:rPr>
          <w:rFonts w:cs="Times New Roman"/>
          <w:sz w:val="22"/>
          <w:szCs w:val="22"/>
        </w:rPr>
        <w:t xml:space="preserve">criminalizes, and </w:t>
      </w:r>
      <w:r w:rsidR="00826198" w:rsidRPr="00CF5C4C">
        <w:rPr>
          <w:rFonts w:cs="Times New Roman"/>
          <w:sz w:val="22"/>
          <w:szCs w:val="22"/>
        </w:rPr>
        <w:t>expend</w:t>
      </w:r>
      <w:r w:rsidR="00CA01AA" w:rsidRPr="00CF5C4C">
        <w:rPr>
          <w:rFonts w:cs="Times New Roman"/>
          <w:sz w:val="22"/>
          <w:szCs w:val="22"/>
        </w:rPr>
        <w:t>s</w:t>
      </w:r>
      <w:r w:rsidR="00826198" w:rsidRPr="00CF5C4C">
        <w:rPr>
          <w:rFonts w:cs="Times New Roman"/>
          <w:sz w:val="22"/>
          <w:szCs w:val="22"/>
        </w:rPr>
        <w:t xml:space="preserve"> public health resources to prevent</w:t>
      </w:r>
      <w:r w:rsidR="00CA01AA" w:rsidRPr="00CF5C4C">
        <w:rPr>
          <w:rFonts w:cs="Times New Roman"/>
          <w:sz w:val="22"/>
          <w:szCs w:val="22"/>
        </w:rPr>
        <w:t>,</w:t>
      </w:r>
      <w:r w:rsidR="00826198" w:rsidRPr="00CF5C4C">
        <w:rPr>
          <w:rFonts w:cs="Times New Roman"/>
          <w:sz w:val="22"/>
          <w:szCs w:val="22"/>
        </w:rPr>
        <w:t xml:space="preserve"> is instead actively facilitated as long as the person has a “terminal” </w:t>
      </w:r>
      <w:r w:rsidR="006A0626" w:rsidRPr="00CF5C4C">
        <w:rPr>
          <w:rFonts w:cs="Times New Roman"/>
          <w:sz w:val="22"/>
          <w:szCs w:val="22"/>
        </w:rPr>
        <w:t>prognosis, however uncertain and unreliable such prognoses are widely acknowledged to be.</w:t>
      </w:r>
    </w:p>
    <w:p w14:paraId="17EF64E2" w14:textId="6B7765D4" w:rsidR="00F34D22" w:rsidRPr="00CF5C4C" w:rsidRDefault="00F34D22" w:rsidP="00CF5C4C">
      <w:pPr>
        <w:widowControl w:val="0"/>
        <w:autoSpaceDE w:val="0"/>
        <w:autoSpaceDN w:val="0"/>
        <w:adjustRightInd w:val="0"/>
        <w:spacing w:after="240"/>
        <w:ind w:right="90"/>
        <w:rPr>
          <w:rFonts w:cs="Times New Roman"/>
          <w:b/>
          <w:sz w:val="22"/>
          <w:szCs w:val="22"/>
        </w:rPr>
      </w:pPr>
      <w:r w:rsidRPr="00CF5C4C">
        <w:rPr>
          <w:rFonts w:cs="Times New Roman"/>
          <w:b/>
          <w:sz w:val="22"/>
          <w:szCs w:val="22"/>
        </w:rPr>
        <w:t xml:space="preserve">2.  </w:t>
      </w:r>
      <w:r w:rsidR="007E75C8" w:rsidRPr="00CF5C4C">
        <w:rPr>
          <w:rFonts w:cs="Times New Roman"/>
          <w:b/>
          <w:sz w:val="22"/>
          <w:szCs w:val="22"/>
        </w:rPr>
        <w:t>The bill’s proponents acknowledge pain is not the motivation, but fear of disability is.</w:t>
      </w:r>
    </w:p>
    <w:p w14:paraId="22DCD91D" w14:textId="745EDF90" w:rsidR="00F34D22" w:rsidRPr="00CF5C4C" w:rsidRDefault="00F34D22" w:rsidP="00CF5C4C">
      <w:pPr>
        <w:widowControl w:val="0"/>
        <w:autoSpaceDE w:val="0"/>
        <w:autoSpaceDN w:val="0"/>
        <w:adjustRightInd w:val="0"/>
        <w:spacing w:after="240"/>
        <w:ind w:left="450" w:right="90"/>
        <w:rPr>
          <w:sz w:val="22"/>
          <w:szCs w:val="22"/>
        </w:rPr>
      </w:pPr>
      <w:r w:rsidRPr="00CF5C4C">
        <w:rPr>
          <w:sz w:val="22"/>
          <w:szCs w:val="22"/>
        </w:rPr>
        <w:t xml:space="preserve">*  </w:t>
      </w:r>
      <w:r w:rsidR="00CA01AA" w:rsidRPr="00CF5C4C">
        <w:rPr>
          <w:sz w:val="22"/>
          <w:szCs w:val="22"/>
        </w:rPr>
        <w:t>Most laymen still labor under the misconception that modern medicine cannot, or refuses to, alleviate the pain</w:t>
      </w:r>
      <w:r w:rsidR="007E75C8" w:rsidRPr="00CF5C4C">
        <w:rPr>
          <w:sz w:val="22"/>
          <w:szCs w:val="22"/>
        </w:rPr>
        <w:t xml:space="preserve"> associated with fatal diseases.</w:t>
      </w:r>
    </w:p>
    <w:p w14:paraId="181A15EF" w14:textId="4157CB83" w:rsidR="00F34D22" w:rsidRPr="00CF5C4C" w:rsidRDefault="00F34D22" w:rsidP="00CF5C4C">
      <w:pPr>
        <w:widowControl w:val="0"/>
        <w:autoSpaceDE w:val="0"/>
        <w:autoSpaceDN w:val="0"/>
        <w:adjustRightInd w:val="0"/>
        <w:spacing w:after="240"/>
        <w:ind w:left="450" w:right="90"/>
        <w:rPr>
          <w:sz w:val="22"/>
          <w:szCs w:val="22"/>
        </w:rPr>
      </w:pPr>
      <w:r w:rsidRPr="00CF5C4C">
        <w:rPr>
          <w:sz w:val="22"/>
          <w:szCs w:val="22"/>
        </w:rPr>
        <w:t xml:space="preserve">*  </w:t>
      </w:r>
      <w:r w:rsidR="00CA01AA" w:rsidRPr="00CF5C4C">
        <w:rPr>
          <w:sz w:val="22"/>
          <w:szCs w:val="22"/>
        </w:rPr>
        <w:t>As everyone on both sides of this issue acknowl</w:t>
      </w:r>
      <w:r w:rsidR="001E7071" w:rsidRPr="00CF5C4C">
        <w:rPr>
          <w:sz w:val="22"/>
          <w:szCs w:val="22"/>
        </w:rPr>
        <w:t>edge</w:t>
      </w:r>
      <w:r w:rsidR="00CA01AA" w:rsidRPr="00CF5C4C">
        <w:rPr>
          <w:sz w:val="22"/>
          <w:szCs w:val="22"/>
        </w:rPr>
        <w:t xml:space="preserve">s, that is a misconception.  Pain can be alleviated, including </w:t>
      </w:r>
      <w:r w:rsidR="007E75C8" w:rsidRPr="00CF5C4C">
        <w:rPr>
          <w:sz w:val="22"/>
          <w:szCs w:val="22"/>
        </w:rPr>
        <w:t>end-of-life pain</w:t>
      </w:r>
      <w:r w:rsidR="00EA6A95" w:rsidRPr="00CF5C4C">
        <w:rPr>
          <w:sz w:val="22"/>
          <w:szCs w:val="22"/>
        </w:rPr>
        <w:t>.</w:t>
      </w:r>
      <w:r w:rsidR="00437038">
        <w:rPr>
          <w:sz w:val="22"/>
          <w:szCs w:val="22"/>
        </w:rPr>
        <w:t xml:space="preserve">  For example, the </w:t>
      </w:r>
      <w:r w:rsidR="007E75C8" w:rsidRPr="00CF5C4C">
        <w:rPr>
          <w:sz w:val="22"/>
          <w:szCs w:val="22"/>
        </w:rPr>
        <w:t>American Medical Association now fully support</w:t>
      </w:r>
      <w:r w:rsidR="00437038">
        <w:rPr>
          <w:sz w:val="22"/>
          <w:szCs w:val="22"/>
        </w:rPr>
        <w:t>s</w:t>
      </w:r>
      <w:r w:rsidR="007E75C8" w:rsidRPr="00CF5C4C">
        <w:rPr>
          <w:sz w:val="22"/>
          <w:szCs w:val="22"/>
        </w:rPr>
        <w:t xml:space="preserve"> and endorse</w:t>
      </w:r>
      <w:r w:rsidR="00437038">
        <w:rPr>
          <w:sz w:val="22"/>
          <w:szCs w:val="22"/>
        </w:rPr>
        <w:t>s</w:t>
      </w:r>
      <w:r w:rsidR="007E75C8" w:rsidRPr="00CF5C4C">
        <w:rPr>
          <w:sz w:val="22"/>
          <w:szCs w:val="22"/>
        </w:rPr>
        <w:t xml:space="preserve"> pain palliation, including palliative sedation</w:t>
      </w:r>
      <w:r w:rsidR="006A0626" w:rsidRPr="00CF5C4C">
        <w:rPr>
          <w:sz w:val="22"/>
          <w:szCs w:val="22"/>
        </w:rPr>
        <w:t xml:space="preserve"> if pain</w:t>
      </w:r>
      <w:r w:rsidR="00DE63C7" w:rsidRPr="00CF5C4C">
        <w:rPr>
          <w:sz w:val="22"/>
          <w:szCs w:val="22"/>
        </w:rPr>
        <w:t>-</w:t>
      </w:r>
      <w:r w:rsidR="006A0626" w:rsidRPr="00CF5C4C">
        <w:rPr>
          <w:sz w:val="22"/>
          <w:szCs w:val="22"/>
        </w:rPr>
        <w:t>relieving medication alone is insufficient.</w:t>
      </w:r>
    </w:p>
    <w:p w14:paraId="58D869CD" w14:textId="29D3BDB6" w:rsidR="004055DB" w:rsidRPr="008C42F8" w:rsidRDefault="004055DB" w:rsidP="00CF5C4C">
      <w:pPr>
        <w:widowControl w:val="0"/>
        <w:autoSpaceDE w:val="0"/>
        <w:autoSpaceDN w:val="0"/>
        <w:adjustRightInd w:val="0"/>
        <w:spacing w:after="240"/>
        <w:ind w:right="90"/>
        <w:rPr>
          <w:rFonts w:cs="Arial"/>
          <w:sz w:val="22"/>
          <w:szCs w:val="22"/>
        </w:rPr>
      </w:pPr>
      <w:r w:rsidRPr="00CF5C4C">
        <w:rPr>
          <w:rFonts w:cs="Arial"/>
          <w:b/>
          <w:sz w:val="22"/>
          <w:szCs w:val="22"/>
        </w:rPr>
        <w:lastRenderedPageBreak/>
        <w:t>3.  Nor should physician-assisted suicide be confused with the issue of whether doctors can force unwanted medical procedures.</w:t>
      </w:r>
      <w:r w:rsidRPr="00CF5C4C">
        <w:rPr>
          <w:rFonts w:cs="Arial"/>
          <w:sz w:val="22"/>
          <w:szCs w:val="22"/>
        </w:rPr>
        <w:t xml:space="preserve">  The right to refuse unwanted medical treatment was affirmed by the U.S. Supreme Court in 1990, over twenty years ago.</w:t>
      </w:r>
    </w:p>
    <w:p w14:paraId="37B7800B" w14:textId="5986BBD3" w:rsidR="00437038" w:rsidRDefault="004055DB" w:rsidP="00CF5C4C">
      <w:pPr>
        <w:widowControl w:val="0"/>
        <w:autoSpaceDE w:val="0"/>
        <w:autoSpaceDN w:val="0"/>
        <w:adjustRightInd w:val="0"/>
        <w:spacing w:after="240"/>
        <w:ind w:right="90"/>
        <w:rPr>
          <w:rFonts w:cs="Arial"/>
          <w:b/>
          <w:sz w:val="22"/>
          <w:szCs w:val="22"/>
        </w:rPr>
      </w:pPr>
      <w:r w:rsidRPr="00CF5C4C">
        <w:rPr>
          <w:b/>
          <w:sz w:val="22"/>
          <w:szCs w:val="22"/>
        </w:rPr>
        <w:t>4</w:t>
      </w:r>
      <w:r w:rsidR="00F34D22" w:rsidRPr="00CF5C4C">
        <w:rPr>
          <w:b/>
          <w:sz w:val="22"/>
          <w:szCs w:val="22"/>
        </w:rPr>
        <w:t xml:space="preserve">.  </w:t>
      </w:r>
      <w:r w:rsidR="00EA6A95" w:rsidRPr="00CF5C4C">
        <w:rPr>
          <w:b/>
          <w:sz w:val="22"/>
          <w:szCs w:val="22"/>
        </w:rPr>
        <w:t xml:space="preserve">Instead, the proponents claim that experiencing disability is “undignified,” and </w:t>
      </w:r>
      <w:r w:rsidR="006A0626" w:rsidRPr="00CF5C4C">
        <w:rPr>
          <w:b/>
          <w:sz w:val="22"/>
          <w:szCs w:val="22"/>
        </w:rPr>
        <w:t xml:space="preserve">argue </w:t>
      </w:r>
      <w:r w:rsidR="00EA6A95" w:rsidRPr="00CF5C4C">
        <w:rPr>
          <w:b/>
          <w:sz w:val="22"/>
          <w:szCs w:val="22"/>
        </w:rPr>
        <w:t>that people who fear acquiring disability should be helped to take their lives.</w:t>
      </w:r>
      <w:r w:rsidR="00EA6A95" w:rsidRPr="00CF5C4C" w:rsidDel="00EA6A95">
        <w:rPr>
          <w:sz w:val="22"/>
          <w:szCs w:val="22"/>
        </w:rPr>
        <w:t xml:space="preserve"> </w:t>
      </w:r>
      <w:r w:rsidR="00F34D22" w:rsidRPr="00CF5C4C">
        <w:rPr>
          <w:sz w:val="22"/>
          <w:szCs w:val="22"/>
        </w:rPr>
        <w:t xml:space="preserve"> None of us should feel that we have to die to have dignity, that we have to die to be relieved of pain, or that we should die to stop burdening our families or society.</w:t>
      </w:r>
    </w:p>
    <w:p w14:paraId="509A7725" w14:textId="494E443B" w:rsidR="005C567D" w:rsidRPr="00CF5C4C" w:rsidRDefault="004055DB" w:rsidP="00CF5C4C">
      <w:pPr>
        <w:widowControl w:val="0"/>
        <w:autoSpaceDE w:val="0"/>
        <w:autoSpaceDN w:val="0"/>
        <w:adjustRightInd w:val="0"/>
        <w:spacing w:after="240"/>
        <w:ind w:right="90"/>
        <w:rPr>
          <w:rFonts w:cs="Arial"/>
          <w:b/>
          <w:sz w:val="22"/>
          <w:szCs w:val="22"/>
        </w:rPr>
      </w:pPr>
      <w:r w:rsidRPr="00CF5C4C">
        <w:rPr>
          <w:rFonts w:cs="Arial"/>
          <w:b/>
          <w:sz w:val="22"/>
          <w:szCs w:val="22"/>
        </w:rPr>
        <w:t>5</w:t>
      </w:r>
      <w:r w:rsidR="005C567D" w:rsidRPr="00CF5C4C">
        <w:rPr>
          <w:rFonts w:cs="Arial"/>
          <w:b/>
          <w:sz w:val="22"/>
          <w:szCs w:val="22"/>
        </w:rPr>
        <w:t>.  As written, the bill tries to steer a middle course between the proponents</w:t>
      </w:r>
      <w:r w:rsidR="00CB3AEA" w:rsidRPr="00CF5C4C">
        <w:rPr>
          <w:rFonts w:cs="Arial"/>
          <w:b/>
          <w:sz w:val="22"/>
          <w:szCs w:val="22"/>
        </w:rPr>
        <w:t>’ desire for completely free</w:t>
      </w:r>
      <w:r w:rsidR="005C567D" w:rsidRPr="00CF5C4C">
        <w:rPr>
          <w:rFonts w:cs="Arial"/>
          <w:b/>
          <w:sz w:val="22"/>
          <w:szCs w:val="22"/>
        </w:rPr>
        <w:t xml:space="preserve"> access to lethal-dose prescription, and </w:t>
      </w:r>
      <w:r w:rsidR="00CB3AEA" w:rsidRPr="00CF5C4C">
        <w:rPr>
          <w:rFonts w:cs="Arial"/>
          <w:b/>
          <w:sz w:val="22"/>
          <w:szCs w:val="22"/>
        </w:rPr>
        <w:t>the need to appear to protect vulnerable people.  Those desires directly conflict, and bill provisions promoting access also unavoidably promote danger.  For example:</w:t>
      </w:r>
    </w:p>
    <w:p w14:paraId="4664C967" w14:textId="77777777" w:rsidR="004055DB" w:rsidRPr="00CF5C4C" w:rsidRDefault="004055DB" w:rsidP="00CF5C4C">
      <w:pPr>
        <w:widowControl w:val="0"/>
        <w:autoSpaceDE w:val="0"/>
        <w:autoSpaceDN w:val="0"/>
        <w:adjustRightInd w:val="0"/>
        <w:spacing w:after="240"/>
        <w:ind w:left="450" w:right="90"/>
        <w:rPr>
          <w:rFonts w:cs="Arial"/>
          <w:sz w:val="22"/>
          <w:szCs w:val="22"/>
        </w:rPr>
      </w:pPr>
      <w:r w:rsidRPr="00CF5C4C">
        <w:rPr>
          <w:rFonts w:cs="Arial"/>
          <w:sz w:val="22"/>
          <w:szCs w:val="22"/>
        </w:rPr>
        <w:t>*  There is no requirement that either of the witnesses to the voluntariness of the request know the patient.  In fact, the patient is required to provide ID, so the witnesses can verify the patient’s identity.</w:t>
      </w:r>
    </w:p>
    <w:p w14:paraId="0994BCD8" w14:textId="77777777" w:rsidR="004055DB" w:rsidRPr="00CF5C4C" w:rsidRDefault="004055DB" w:rsidP="00CF5C4C">
      <w:pPr>
        <w:widowControl w:val="0"/>
        <w:autoSpaceDE w:val="0"/>
        <w:autoSpaceDN w:val="0"/>
        <w:adjustRightInd w:val="0"/>
        <w:spacing w:after="240"/>
        <w:ind w:left="450" w:right="90"/>
        <w:rPr>
          <w:rFonts w:cs="Arial"/>
          <w:sz w:val="22"/>
          <w:szCs w:val="22"/>
        </w:rPr>
      </w:pPr>
      <w:r w:rsidRPr="00CF5C4C">
        <w:rPr>
          <w:rFonts w:cs="Arial"/>
          <w:sz w:val="22"/>
          <w:szCs w:val="22"/>
        </w:rPr>
        <w:t>*  One of the two witnesses is permitted to be an heir of the patient.</w:t>
      </w:r>
    </w:p>
    <w:p w14:paraId="2A1D4E70" w14:textId="77777777" w:rsidR="004055DB" w:rsidRPr="00CF5C4C" w:rsidRDefault="004055DB" w:rsidP="00CF5C4C">
      <w:pPr>
        <w:widowControl w:val="0"/>
        <w:autoSpaceDE w:val="0"/>
        <w:autoSpaceDN w:val="0"/>
        <w:adjustRightInd w:val="0"/>
        <w:spacing w:after="240"/>
        <w:ind w:left="450" w:right="90"/>
        <w:rPr>
          <w:rFonts w:cs="Arial"/>
          <w:sz w:val="22"/>
          <w:szCs w:val="22"/>
        </w:rPr>
      </w:pPr>
      <w:r w:rsidRPr="00CF5C4C">
        <w:rPr>
          <w:rFonts w:cs="Arial"/>
          <w:sz w:val="22"/>
          <w:szCs w:val="22"/>
        </w:rPr>
        <w:t>*  There is no requirement for psychological counseling.</w:t>
      </w:r>
    </w:p>
    <w:p w14:paraId="5F010D36" w14:textId="3BDD5A84" w:rsidR="004055DB" w:rsidRPr="00CF5C4C" w:rsidRDefault="004055DB" w:rsidP="00CF5C4C">
      <w:pPr>
        <w:widowControl w:val="0"/>
        <w:autoSpaceDE w:val="0"/>
        <w:autoSpaceDN w:val="0"/>
        <w:adjustRightInd w:val="0"/>
        <w:spacing w:after="240"/>
        <w:ind w:left="450" w:right="90"/>
        <w:rPr>
          <w:rFonts w:cs="Arial"/>
          <w:sz w:val="22"/>
          <w:szCs w:val="22"/>
        </w:rPr>
      </w:pPr>
      <w:r w:rsidRPr="00CF5C4C">
        <w:rPr>
          <w:rFonts w:cs="Arial"/>
          <w:sz w:val="22"/>
          <w:szCs w:val="22"/>
        </w:rPr>
        <w:t>*  There is no requirement for palliative care consult.</w:t>
      </w:r>
    </w:p>
    <w:p w14:paraId="502765FB" w14:textId="22EAE13C" w:rsidR="00CB3AEA" w:rsidRPr="008C42F8" w:rsidRDefault="00CB3AEA" w:rsidP="00CF5C4C">
      <w:pPr>
        <w:widowControl w:val="0"/>
        <w:autoSpaceDE w:val="0"/>
        <w:autoSpaceDN w:val="0"/>
        <w:adjustRightInd w:val="0"/>
        <w:spacing w:after="240"/>
        <w:ind w:left="450" w:right="90"/>
        <w:rPr>
          <w:rFonts w:cs="Arial"/>
          <w:sz w:val="22"/>
          <w:szCs w:val="22"/>
        </w:rPr>
      </w:pPr>
      <w:r w:rsidRPr="008C42F8">
        <w:rPr>
          <w:rFonts w:cs="Arial"/>
          <w:sz w:val="22"/>
          <w:szCs w:val="22"/>
        </w:rPr>
        <w:t>*  A third party is allowed to communicate with a doctor on behalf of a person in requesting a lethal dose, so long as the third party is “fa</w:t>
      </w:r>
      <w:r w:rsidR="004055DB" w:rsidRPr="00CF5C4C">
        <w:rPr>
          <w:rFonts w:cs="Arial"/>
          <w:sz w:val="22"/>
          <w:szCs w:val="22"/>
        </w:rPr>
        <w:t>miliar with the patient’s manner</w:t>
      </w:r>
      <w:r w:rsidRPr="008C42F8">
        <w:rPr>
          <w:rFonts w:cs="Arial"/>
          <w:sz w:val="22"/>
          <w:szCs w:val="22"/>
        </w:rPr>
        <w:t xml:space="preserve"> of communicating.”  </w:t>
      </w:r>
    </w:p>
    <w:p w14:paraId="6090F0C1" w14:textId="2C58786C" w:rsidR="00CB3AEA" w:rsidRPr="008C42F8" w:rsidRDefault="00CB3AEA" w:rsidP="00CF5C4C">
      <w:pPr>
        <w:widowControl w:val="0"/>
        <w:autoSpaceDE w:val="0"/>
        <w:autoSpaceDN w:val="0"/>
        <w:adjustRightInd w:val="0"/>
        <w:spacing w:after="240"/>
        <w:ind w:left="450" w:right="90"/>
        <w:rPr>
          <w:rFonts w:cs="Arial"/>
          <w:sz w:val="22"/>
          <w:szCs w:val="22"/>
        </w:rPr>
      </w:pPr>
      <w:r w:rsidRPr="008C42F8">
        <w:rPr>
          <w:rFonts w:cs="Arial"/>
          <w:sz w:val="22"/>
          <w:szCs w:val="22"/>
        </w:rPr>
        <w:t>*  A third party is allowed to pick up the drugs from the pharmacy and deliver them to the place where the patient resides.</w:t>
      </w:r>
    </w:p>
    <w:p w14:paraId="139A9525" w14:textId="694E9DA1" w:rsidR="00CB3AEA" w:rsidRPr="00CF5C4C" w:rsidRDefault="00CB3AEA" w:rsidP="00CF5C4C">
      <w:pPr>
        <w:widowControl w:val="0"/>
        <w:autoSpaceDE w:val="0"/>
        <w:autoSpaceDN w:val="0"/>
        <w:adjustRightInd w:val="0"/>
        <w:spacing w:after="240"/>
        <w:ind w:left="450" w:right="90"/>
        <w:rPr>
          <w:rFonts w:cs="Arial"/>
          <w:sz w:val="22"/>
          <w:szCs w:val="22"/>
        </w:rPr>
      </w:pPr>
      <w:r w:rsidRPr="008C42F8">
        <w:rPr>
          <w:rFonts w:cs="Arial"/>
          <w:sz w:val="22"/>
          <w:szCs w:val="22"/>
        </w:rPr>
        <w:t>*  There is no requirement that family members be notified.</w:t>
      </w:r>
    </w:p>
    <w:p w14:paraId="0A0AC5B1" w14:textId="6325A3AD" w:rsidR="004055DB" w:rsidRPr="00CF5C4C" w:rsidRDefault="004055DB" w:rsidP="00CF5C4C">
      <w:pPr>
        <w:ind w:left="450" w:right="90"/>
        <w:rPr>
          <w:sz w:val="22"/>
          <w:szCs w:val="22"/>
        </w:rPr>
      </w:pPr>
      <w:r w:rsidRPr="00CF5C4C">
        <w:rPr>
          <w:rFonts w:cs="Arial"/>
          <w:sz w:val="22"/>
          <w:szCs w:val="22"/>
        </w:rPr>
        <w:t xml:space="preserve">* </w:t>
      </w:r>
      <w:r w:rsidRPr="00CF5C4C">
        <w:rPr>
          <w:sz w:val="22"/>
          <w:szCs w:val="22"/>
        </w:rPr>
        <w:t xml:space="preserve"> There is no language requiring the patient’s consent at the time of administration.  </w:t>
      </w:r>
    </w:p>
    <w:p w14:paraId="385E217E" w14:textId="77777777" w:rsidR="004055DB" w:rsidRPr="00CF5C4C" w:rsidRDefault="004055DB" w:rsidP="008C42F8">
      <w:pPr>
        <w:ind w:left="450" w:right="90"/>
        <w:rPr>
          <w:sz w:val="22"/>
          <w:szCs w:val="22"/>
        </w:rPr>
      </w:pPr>
    </w:p>
    <w:p w14:paraId="287466DC" w14:textId="77777777" w:rsidR="004055DB" w:rsidRPr="00CF5C4C" w:rsidRDefault="004055DB" w:rsidP="00CF5C4C">
      <w:pPr>
        <w:ind w:left="450" w:right="90"/>
        <w:rPr>
          <w:sz w:val="22"/>
          <w:szCs w:val="22"/>
        </w:rPr>
      </w:pPr>
      <w:r w:rsidRPr="00CF5C4C">
        <w:rPr>
          <w:sz w:val="22"/>
          <w:szCs w:val="22"/>
        </w:rPr>
        <w:t xml:space="preserve">*  The Act does not state that “only” the patient may administer the lethal dose.  The Act instead provides that the patient “self- administer” the dose, but the term “self-administer” does not mean that administration will necessarily be by the patient. “Self-administer” is instead defined as the “act of ingesting.”  </w:t>
      </w:r>
    </w:p>
    <w:p w14:paraId="67A9BD2C" w14:textId="75CB3977" w:rsidR="004055DB" w:rsidRPr="008C42F8" w:rsidRDefault="004055DB" w:rsidP="008C42F8">
      <w:pPr>
        <w:ind w:left="450" w:right="90"/>
        <w:rPr>
          <w:rFonts w:cs="Arial"/>
          <w:sz w:val="22"/>
          <w:szCs w:val="22"/>
        </w:rPr>
      </w:pPr>
    </w:p>
    <w:p w14:paraId="591081C1" w14:textId="1FD3CB1A" w:rsidR="00CB3AEA" w:rsidRPr="00CF5C4C" w:rsidRDefault="00CF5C4C" w:rsidP="008C42F8">
      <w:pPr>
        <w:ind w:left="450" w:right="90"/>
        <w:rPr>
          <w:sz w:val="22"/>
          <w:szCs w:val="22"/>
        </w:rPr>
      </w:pPr>
      <w:r w:rsidRPr="00CF5C4C">
        <w:rPr>
          <w:rFonts w:cs="Arial"/>
          <w:sz w:val="22"/>
          <w:szCs w:val="22"/>
        </w:rPr>
        <w:t xml:space="preserve">*  </w:t>
      </w:r>
      <w:r w:rsidR="00CB3AEA" w:rsidRPr="008C42F8">
        <w:rPr>
          <w:rFonts w:cs="Arial"/>
          <w:sz w:val="22"/>
          <w:szCs w:val="22"/>
        </w:rPr>
        <w:t>There is no requirement that the death be witnessed.</w:t>
      </w:r>
      <w:r w:rsidR="004055DB" w:rsidRPr="008C42F8">
        <w:rPr>
          <w:rFonts w:cs="Arial"/>
          <w:sz w:val="22"/>
          <w:szCs w:val="22"/>
        </w:rPr>
        <w:t xml:space="preserve">  </w:t>
      </w:r>
      <w:r w:rsidR="004055DB" w:rsidRPr="008C42F8">
        <w:rPr>
          <w:sz w:val="22"/>
          <w:szCs w:val="22"/>
        </w:rPr>
        <w:t>Nothing prevents an heir or other interested person from being the only person present with the patient.</w:t>
      </w:r>
    </w:p>
    <w:p w14:paraId="1B2354ED" w14:textId="77777777" w:rsidR="00CF5C4C" w:rsidRPr="00CF5C4C" w:rsidRDefault="00CF5C4C" w:rsidP="008C42F8">
      <w:pPr>
        <w:ind w:left="450" w:right="90"/>
        <w:rPr>
          <w:sz w:val="22"/>
          <w:szCs w:val="22"/>
        </w:rPr>
      </w:pPr>
    </w:p>
    <w:p w14:paraId="45B9EF10" w14:textId="0AE5AF17" w:rsidR="00CF5C4C" w:rsidRPr="00CF5C4C" w:rsidRDefault="00CF5C4C" w:rsidP="008C42F8">
      <w:pPr>
        <w:ind w:left="450" w:right="90"/>
        <w:rPr>
          <w:sz w:val="22"/>
          <w:szCs w:val="22"/>
        </w:rPr>
      </w:pPr>
      <w:r w:rsidRPr="00CF5C4C">
        <w:rPr>
          <w:sz w:val="22"/>
          <w:szCs w:val="22"/>
        </w:rPr>
        <w:t>*  The bill w</w:t>
      </w:r>
      <w:r w:rsidRPr="008C42F8">
        <w:rPr>
          <w:bCs/>
          <w:sz w:val="22"/>
          <w:szCs w:val="22"/>
        </w:rPr>
        <w:t xml:space="preserve">ould permit a representative of an assisted-suicide advocacy organization to witness a vulnerable patient's written request. </w:t>
      </w:r>
      <w:r w:rsidRPr="00CF5C4C">
        <w:rPr>
          <w:sz w:val="22"/>
          <w:szCs w:val="22"/>
        </w:rPr>
        <w:t xml:space="preserve">  In Oregon, members of the assisted-suicide advocacy group that spearheaded that state's law on which the New Jersey proposal is patterned have acknowledged that they play a key role in the vast majority of deaths under the state's assisted-suicide law. </w:t>
      </w:r>
    </w:p>
    <w:p w14:paraId="12B58320" w14:textId="77777777" w:rsidR="00CF5C4C" w:rsidRPr="00CF5C4C" w:rsidRDefault="00CF5C4C" w:rsidP="008C42F8">
      <w:pPr>
        <w:ind w:left="450" w:right="90"/>
        <w:rPr>
          <w:sz w:val="22"/>
          <w:szCs w:val="22"/>
        </w:rPr>
      </w:pPr>
    </w:p>
    <w:p w14:paraId="58741187" w14:textId="3526A057" w:rsidR="00CF5C4C" w:rsidRPr="00CF5C4C" w:rsidRDefault="00CF5C4C" w:rsidP="008C42F8">
      <w:pPr>
        <w:ind w:left="450" w:right="90"/>
        <w:rPr>
          <w:sz w:val="22"/>
          <w:szCs w:val="22"/>
        </w:rPr>
      </w:pPr>
      <w:r w:rsidRPr="00CF5C4C">
        <w:rPr>
          <w:sz w:val="22"/>
          <w:szCs w:val="22"/>
        </w:rPr>
        <w:lastRenderedPageBreak/>
        <w:t>*  The death certificate is required to list an underlying disease, not lethal drugs, as the cause of death.</w:t>
      </w:r>
    </w:p>
    <w:p w14:paraId="3F6DDABB" w14:textId="77777777" w:rsidR="00DE63C7" w:rsidRPr="00CF5C4C" w:rsidRDefault="00DE63C7" w:rsidP="00CF5C4C">
      <w:pPr>
        <w:ind w:right="90"/>
        <w:rPr>
          <w:sz w:val="22"/>
          <w:szCs w:val="22"/>
        </w:rPr>
      </w:pPr>
    </w:p>
    <w:p w14:paraId="3619B40B" w14:textId="6C18F5F2" w:rsidR="0034392C" w:rsidRPr="008C42F8" w:rsidRDefault="004055DB" w:rsidP="00CF5C4C">
      <w:pPr>
        <w:ind w:right="90"/>
        <w:rPr>
          <w:b/>
          <w:sz w:val="22"/>
          <w:szCs w:val="22"/>
        </w:rPr>
      </w:pPr>
      <w:r w:rsidRPr="008C42F8">
        <w:rPr>
          <w:b/>
          <w:sz w:val="22"/>
          <w:szCs w:val="22"/>
        </w:rPr>
        <w:t>6</w:t>
      </w:r>
      <w:r w:rsidR="00F34D22" w:rsidRPr="008C42F8">
        <w:rPr>
          <w:b/>
          <w:sz w:val="22"/>
          <w:szCs w:val="22"/>
        </w:rPr>
        <w:t>.  Therefore, under the Act:</w:t>
      </w:r>
      <w:r w:rsidR="0034392C" w:rsidRPr="008C42F8">
        <w:rPr>
          <w:b/>
          <w:sz w:val="22"/>
          <w:szCs w:val="22"/>
        </w:rPr>
        <w:t xml:space="preserve"> </w:t>
      </w:r>
    </w:p>
    <w:p w14:paraId="3EBC6FC7" w14:textId="77777777" w:rsidR="00DE63C7" w:rsidRPr="00CF5C4C" w:rsidRDefault="00DE63C7" w:rsidP="00CF5C4C">
      <w:pPr>
        <w:ind w:right="90"/>
        <w:rPr>
          <w:sz w:val="22"/>
          <w:szCs w:val="22"/>
        </w:rPr>
      </w:pPr>
    </w:p>
    <w:p w14:paraId="131CEAA8" w14:textId="453F613B" w:rsidR="0034392C" w:rsidRPr="00CF5C4C" w:rsidRDefault="0034392C" w:rsidP="00CF5C4C">
      <w:pPr>
        <w:ind w:left="450" w:right="90"/>
        <w:rPr>
          <w:sz w:val="22"/>
          <w:szCs w:val="22"/>
        </w:rPr>
      </w:pPr>
      <w:r w:rsidRPr="00CF5C4C">
        <w:rPr>
          <w:sz w:val="22"/>
          <w:szCs w:val="22"/>
        </w:rPr>
        <w:t>*  S</w:t>
      </w:r>
      <w:r w:rsidR="0009293E" w:rsidRPr="00CF5C4C">
        <w:rPr>
          <w:sz w:val="22"/>
          <w:szCs w:val="22"/>
        </w:rPr>
        <w:t xml:space="preserve">omeone other than the patient is allowed to administer the lethal dose. </w:t>
      </w:r>
    </w:p>
    <w:p w14:paraId="746D1238" w14:textId="77777777" w:rsidR="00DE63C7" w:rsidRPr="00CF5C4C" w:rsidRDefault="00DE63C7" w:rsidP="00CF5C4C">
      <w:pPr>
        <w:ind w:left="450" w:right="90"/>
        <w:rPr>
          <w:sz w:val="22"/>
          <w:szCs w:val="22"/>
        </w:rPr>
      </w:pPr>
    </w:p>
    <w:p w14:paraId="2B81F8FD" w14:textId="77777777" w:rsidR="0034392C" w:rsidRPr="00CF5C4C" w:rsidRDefault="0034392C" w:rsidP="00CF5C4C">
      <w:pPr>
        <w:ind w:left="450" w:right="90"/>
        <w:rPr>
          <w:sz w:val="22"/>
          <w:szCs w:val="22"/>
        </w:rPr>
      </w:pPr>
      <w:r w:rsidRPr="00CF5C4C">
        <w:rPr>
          <w:sz w:val="22"/>
          <w:szCs w:val="22"/>
        </w:rPr>
        <w:t xml:space="preserve">*  </w:t>
      </w:r>
      <w:r w:rsidR="0009293E" w:rsidRPr="00CF5C4C">
        <w:rPr>
          <w:sz w:val="22"/>
          <w:szCs w:val="22"/>
        </w:rPr>
        <w:t xml:space="preserve">The Act contains no requirement that the patient be competent or even aware when the lethal dose is administered. </w:t>
      </w:r>
    </w:p>
    <w:p w14:paraId="7BF72AAD" w14:textId="77777777" w:rsidR="00DE63C7" w:rsidRPr="00CF5C4C" w:rsidRDefault="00DE63C7" w:rsidP="00CF5C4C">
      <w:pPr>
        <w:ind w:left="450" w:right="90"/>
        <w:rPr>
          <w:sz w:val="22"/>
          <w:szCs w:val="22"/>
        </w:rPr>
      </w:pPr>
    </w:p>
    <w:p w14:paraId="2F77BEDC" w14:textId="3A54536E" w:rsidR="0009293E" w:rsidRPr="00CF5C4C" w:rsidRDefault="0034392C" w:rsidP="00CF5C4C">
      <w:pPr>
        <w:ind w:left="450" w:right="90"/>
        <w:rPr>
          <w:sz w:val="22"/>
          <w:szCs w:val="22"/>
        </w:rPr>
      </w:pPr>
      <w:r w:rsidRPr="00CF5C4C">
        <w:rPr>
          <w:sz w:val="22"/>
          <w:szCs w:val="22"/>
        </w:rPr>
        <w:t xml:space="preserve">*  </w:t>
      </w:r>
      <w:r w:rsidR="0009293E" w:rsidRPr="00CF5C4C">
        <w:rPr>
          <w:sz w:val="22"/>
          <w:szCs w:val="22"/>
        </w:rPr>
        <w:t>The Act</w:t>
      </w:r>
      <w:r w:rsidR="00F34D22" w:rsidRPr="00CF5C4C">
        <w:rPr>
          <w:sz w:val="22"/>
          <w:szCs w:val="22"/>
        </w:rPr>
        <w:t>, however,</w:t>
      </w:r>
      <w:r w:rsidR="0009293E" w:rsidRPr="00CF5C4C">
        <w:rPr>
          <w:sz w:val="22"/>
          <w:szCs w:val="22"/>
        </w:rPr>
        <w:t xml:space="preserve"> states: </w:t>
      </w:r>
      <w:r w:rsidR="00364578" w:rsidRPr="00CF5C4C">
        <w:rPr>
          <w:sz w:val="22"/>
          <w:szCs w:val="22"/>
        </w:rPr>
        <w:t>“</w:t>
      </w:r>
      <w:r w:rsidR="0009293E" w:rsidRPr="00CF5C4C">
        <w:rPr>
          <w:sz w:val="22"/>
          <w:szCs w:val="22"/>
        </w:rPr>
        <w:t>Any action taken in accordance with the provisions of this act shall not constitute suicide, assisted suicide, mercy killing, or homicide under any criminal law of this State.</w:t>
      </w:r>
      <w:r w:rsidR="00364578" w:rsidRPr="00CF5C4C">
        <w:rPr>
          <w:sz w:val="22"/>
          <w:szCs w:val="22"/>
        </w:rPr>
        <w:t>”</w:t>
      </w:r>
    </w:p>
    <w:p w14:paraId="298EFC97" w14:textId="77777777" w:rsidR="0009293E" w:rsidRPr="00CF5C4C" w:rsidRDefault="0009293E" w:rsidP="00CF5C4C">
      <w:pPr>
        <w:ind w:right="90"/>
        <w:rPr>
          <w:sz w:val="22"/>
          <w:szCs w:val="22"/>
        </w:rPr>
      </w:pPr>
    </w:p>
    <w:p w14:paraId="206F1265" w14:textId="54C9A534" w:rsidR="00463933" w:rsidRPr="00CF5C4C" w:rsidRDefault="004055DB" w:rsidP="00CF5C4C">
      <w:pPr>
        <w:ind w:right="90"/>
        <w:rPr>
          <w:sz w:val="22"/>
          <w:szCs w:val="22"/>
        </w:rPr>
      </w:pPr>
      <w:r w:rsidRPr="008C42F8">
        <w:rPr>
          <w:b/>
          <w:sz w:val="22"/>
          <w:szCs w:val="22"/>
        </w:rPr>
        <w:t>7</w:t>
      </w:r>
      <w:r w:rsidR="0034392C" w:rsidRPr="008C42F8">
        <w:rPr>
          <w:b/>
          <w:sz w:val="22"/>
          <w:szCs w:val="22"/>
        </w:rPr>
        <w:t xml:space="preserve">.  </w:t>
      </w:r>
      <w:r w:rsidR="0009293E" w:rsidRPr="008C42F8">
        <w:rPr>
          <w:b/>
          <w:sz w:val="22"/>
          <w:szCs w:val="22"/>
        </w:rPr>
        <w:t>Without witnesses, the opportunity is created for someone other than the patient to administer the lethal dose to the patient without his consent. Even if he struggled, who would know? The lethal dose request would provide the alibi.</w:t>
      </w:r>
      <w:r w:rsidR="0009293E" w:rsidRPr="00CF5C4C">
        <w:rPr>
          <w:sz w:val="22"/>
          <w:szCs w:val="22"/>
        </w:rPr>
        <w:t xml:space="preserve"> This scenario would seem especially significant for patients with money. </w:t>
      </w:r>
    </w:p>
    <w:p w14:paraId="0325F60A" w14:textId="77777777" w:rsidR="00463933" w:rsidRPr="00CF5C4C" w:rsidRDefault="00463933" w:rsidP="00CF5C4C">
      <w:pPr>
        <w:ind w:right="90"/>
        <w:rPr>
          <w:sz w:val="22"/>
          <w:szCs w:val="22"/>
        </w:rPr>
      </w:pPr>
    </w:p>
    <w:p w14:paraId="07775E6D" w14:textId="0F6E89BC" w:rsidR="00A95C28" w:rsidRPr="00CF5C4C" w:rsidRDefault="004055DB" w:rsidP="008C42F8">
      <w:pPr>
        <w:widowControl w:val="0"/>
        <w:autoSpaceDE w:val="0"/>
        <w:autoSpaceDN w:val="0"/>
        <w:adjustRightInd w:val="0"/>
        <w:ind w:right="90"/>
        <w:rPr>
          <w:sz w:val="22"/>
          <w:szCs w:val="22"/>
        </w:rPr>
      </w:pPr>
      <w:r w:rsidRPr="008C42F8">
        <w:rPr>
          <w:b/>
          <w:sz w:val="22"/>
          <w:szCs w:val="22"/>
        </w:rPr>
        <w:t>8</w:t>
      </w:r>
      <w:r w:rsidR="0034392C" w:rsidRPr="008C42F8">
        <w:rPr>
          <w:b/>
          <w:sz w:val="22"/>
          <w:szCs w:val="22"/>
        </w:rPr>
        <w:t xml:space="preserve">.  </w:t>
      </w:r>
      <w:r w:rsidR="0009293E" w:rsidRPr="008C42F8">
        <w:rPr>
          <w:b/>
          <w:sz w:val="22"/>
          <w:szCs w:val="22"/>
        </w:rPr>
        <w:t>In the event anyone questions a patient’s death, a meaningful</w:t>
      </w:r>
      <w:r w:rsidR="0034392C" w:rsidRPr="008C42F8">
        <w:rPr>
          <w:b/>
          <w:sz w:val="22"/>
          <w:szCs w:val="22"/>
        </w:rPr>
        <w:t xml:space="preserve"> response from law enforcement is </w:t>
      </w:r>
      <w:r w:rsidR="0009293E" w:rsidRPr="008C42F8">
        <w:rPr>
          <w:b/>
          <w:sz w:val="22"/>
          <w:szCs w:val="22"/>
        </w:rPr>
        <w:t>unlikely.</w:t>
      </w:r>
      <w:r w:rsidR="0009293E" w:rsidRPr="00CF5C4C">
        <w:rPr>
          <w:sz w:val="22"/>
          <w:szCs w:val="22"/>
        </w:rPr>
        <w:t xml:space="preserve"> The death certificate is required to list an underlying disease as the offici</w:t>
      </w:r>
      <w:r w:rsidR="00645773" w:rsidRPr="00CF5C4C">
        <w:rPr>
          <w:sz w:val="22"/>
          <w:szCs w:val="22"/>
        </w:rPr>
        <w:t>al cause of death.</w:t>
      </w:r>
      <w:r w:rsidR="00DC72DF" w:rsidRPr="00CF5C4C">
        <w:rPr>
          <w:sz w:val="22"/>
          <w:szCs w:val="22"/>
        </w:rPr>
        <w:t xml:space="preserve">  </w:t>
      </w:r>
      <w:r w:rsidR="0034392C" w:rsidRPr="00CF5C4C">
        <w:rPr>
          <w:sz w:val="22"/>
          <w:szCs w:val="22"/>
        </w:rPr>
        <w:t>It is prohibited from listing “suicide,” or from recording the request for the drugs.  All</w:t>
      </w:r>
      <w:r w:rsidR="00DC72DF" w:rsidRPr="00CF5C4C">
        <w:rPr>
          <w:sz w:val="22"/>
          <w:szCs w:val="22"/>
        </w:rPr>
        <w:t xml:space="preserve"> of the pertinent medical records are subject to confidentiality protections under HIPAA.</w:t>
      </w:r>
      <w:r w:rsidR="001E7071" w:rsidRPr="00CF5C4C">
        <w:rPr>
          <w:sz w:val="22"/>
          <w:szCs w:val="22"/>
        </w:rPr>
        <w:t xml:space="preserve"> </w:t>
      </w:r>
    </w:p>
    <w:sectPr w:rsidR="00A95C28" w:rsidRPr="00CF5C4C" w:rsidSect="00A9012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44B89" w14:textId="77777777" w:rsidR="004055DB" w:rsidRDefault="004055DB" w:rsidP="005E78BA">
      <w:r>
        <w:separator/>
      </w:r>
    </w:p>
  </w:endnote>
  <w:endnote w:type="continuationSeparator" w:id="0">
    <w:p w14:paraId="73E846A5" w14:textId="77777777" w:rsidR="004055DB" w:rsidRDefault="004055DB" w:rsidP="005E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BF77" w14:textId="77777777" w:rsidR="004055DB" w:rsidRDefault="004055DB" w:rsidP="005E7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49451" w14:textId="77777777" w:rsidR="004055DB" w:rsidRDefault="004055DB" w:rsidP="005E78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49D10" w14:textId="77777777" w:rsidR="004055DB" w:rsidRDefault="004055DB" w:rsidP="005E7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673C">
      <w:rPr>
        <w:rStyle w:val="PageNumber"/>
        <w:noProof/>
      </w:rPr>
      <w:t>1</w:t>
    </w:r>
    <w:r>
      <w:rPr>
        <w:rStyle w:val="PageNumber"/>
      </w:rPr>
      <w:fldChar w:fldCharType="end"/>
    </w:r>
  </w:p>
  <w:p w14:paraId="317791E4" w14:textId="77777777" w:rsidR="004055DB" w:rsidRDefault="004055DB" w:rsidP="005E78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E957" w14:textId="77777777" w:rsidR="004055DB" w:rsidRDefault="004055DB" w:rsidP="005E78BA">
      <w:r>
        <w:separator/>
      </w:r>
    </w:p>
  </w:footnote>
  <w:footnote w:type="continuationSeparator" w:id="0">
    <w:p w14:paraId="4522FDF9" w14:textId="77777777" w:rsidR="004055DB" w:rsidRDefault="004055DB" w:rsidP="005E78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8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C3613"/>
    <w:multiLevelType w:val="hybridMultilevel"/>
    <w:tmpl w:val="060C3FAA"/>
    <w:lvl w:ilvl="0" w:tplc="1098EBF0">
      <w:start w:val="1"/>
      <w:numFmt w:val="bullet"/>
      <w:lvlText w:val=""/>
      <w:lvlJc w:val="left"/>
      <w:pPr>
        <w:ind w:left="2520" w:hanging="360"/>
      </w:pPr>
      <w:rPr>
        <w:rFonts w:ascii="Symbol" w:eastAsiaTheme="minorEastAsia" w:hAnsi="Symbol"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83743AE"/>
    <w:multiLevelType w:val="hybridMultilevel"/>
    <w:tmpl w:val="4B2E810C"/>
    <w:lvl w:ilvl="0" w:tplc="16B47202">
      <w:start w:val="1"/>
      <w:numFmt w:val="bullet"/>
      <w:lvlText w:val=""/>
      <w:lvlJc w:val="left"/>
      <w:pPr>
        <w:ind w:left="720" w:hanging="360"/>
      </w:pPr>
      <w:rPr>
        <w:rFonts w:ascii="Symbol" w:eastAsiaTheme="minorEastAsia" w:hAnsi="Symbol"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65326"/>
    <w:multiLevelType w:val="hybridMultilevel"/>
    <w:tmpl w:val="1AA22078"/>
    <w:lvl w:ilvl="0" w:tplc="5212DB84">
      <w:start w:val="4"/>
      <w:numFmt w:val="bullet"/>
      <w:lvlText w:val=""/>
      <w:lvlJc w:val="left"/>
      <w:pPr>
        <w:ind w:left="90" w:hanging="360"/>
      </w:pPr>
      <w:rPr>
        <w:rFonts w:ascii="Symbol" w:eastAsiaTheme="minorEastAsia" w:hAnsi="Symbol" w:cs="Aria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495211BA"/>
    <w:multiLevelType w:val="hybridMultilevel"/>
    <w:tmpl w:val="BA5A8486"/>
    <w:lvl w:ilvl="0" w:tplc="990CE3FC">
      <w:start w:val="4"/>
      <w:numFmt w:val="bullet"/>
      <w:lvlText w:val=""/>
      <w:lvlJc w:val="left"/>
      <w:pPr>
        <w:ind w:left="90" w:hanging="360"/>
      </w:pPr>
      <w:rPr>
        <w:rFonts w:ascii="Symbol" w:eastAsiaTheme="minorEastAsia" w:hAnsi="Symbol" w:cs="Aria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5B"/>
    <w:rsid w:val="00073179"/>
    <w:rsid w:val="0009293E"/>
    <w:rsid w:val="00096D4D"/>
    <w:rsid w:val="000F5498"/>
    <w:rsid w:val="00120F75"/>
    <w:rsid w:val="00145291"/>
    <w:rsid w:val="00167550"/>
    <w:rsid w:val="001D6524"/>
    <w:rsid w:val="001E7071"/>
    <w:rsid w:val="001F35E7"/>
    <w:rsid w:val="0020256C"/>
    <w:rsid w:val="0029331F"/>
    <w:rsid w:val="002B3CF0"/>
    <w:rsid w:val="002D3794"/>
    <w:rsid w:val="003263ED"/>
    <w:rsid w:val="00332CC4"/>
    <w:rsid w:val="0034392C"/>
    <w:rsid w:val="003517BB"/>
    <w:rsid w:val="00364578"/>
    <w:rsid w:val="003D25EA"/>
    <w:rsid w:val="004055DB"/>
    <w:rsid w:val="00435893"/>
    <w:rsid w:val="00437038"/>
    <w:rsid w:val="00463933"/>
    <w:rsid w:val="0047083E"/>
    <w:rsid w:val="004E77C8"/>
    <w:rsid w:val="0050635B"/>
    <w:rsid w:val="00537323"/>
    <w:rsid w:val="00556147"/>
    <w:rsid w:val="005C567D"/>
    <w:rsid w:val="005E78BA"/>
    <w:rsid w:val="00611431"/>
    <w:rsid w:val="00645773"/>
    <w:rsid w:val="00650859"/>
    <w:rsid w:val="00661E0B"/>
    <w:rsid w:val="006A0626"/>
    <w:rsid w:val="0070673C"/>
    <w:rsid w:val="00707147"/>
    <w:rsid w:val="00751AE0"/>
    <w:rsid w:val="007E75C8"/>
    <w:rsid w:val="0081211C"/>
    <w:rsid w:val="00826198"/>
    <w:rsid w:val="00827CEA"/>
    <w:rsid w:val="00870950"/>
    <w:rsid w:val="00892AA1"/>
    <w:rsid w:val="00897D25"/>
    <w:rsid w:val="008A1962"/>
    <w:rsid w:val="008C42F8"/>
    <w:rsid w:val="008D0E4B"/>
    <w:rsid w:val="00916308"/>
    <w:rsid w:val="00962524"/>
    <w:rsid w:val="009E5C2D"/>
    <w:rsid w:val="009F5A64"/>
    <w:rsid w:val="00A20DBD"/>
    <w:rsid w:val="00A9012F"/>
    <w:rsid w:val="00A9543D"/>
    <w:rsid w:val="00A95C28"/>
    <w:rsid w:val="00B254B4"/>
    <w:rsid w:val="00B61A5B"/>
    <w:rsid w:val="00B85044"/>
    <w:rsid w:val="00C97EEA"/>
    <w:rsid w:val="00CA01AA"/>
    <w:rsid w:val="00CB3AEA"/>
    <w:rsid w:val="00CF5C4C"/>
    <w:rsid w:val="00D079B8"/>
    <w:rsid w:val="00D63825"/>
    <w:rsid w:val="00D66DA8"/>
    <w:rsid w:val="00D73D3E"/>
    <w:rsid w:val="00D81EAC"/>
    <w:rsid w:val="00D92FA6"/>
    <w:rsid w:val="00DC68E1"/>
    <w:rsid w:val="00DC72DF"/>
    <w:rsid w:val="00DE63C7"/>
    <w:rsid w:val="00E23373"/>
    <w:rsid w:val="00E51C6B"/>
    <w:rsid w:val="00E5586A"/>
    <w:rsid w:val="00EA207A"/>
    <w:rsid w:val="00EA6A95"/>
    <w:rsid w:val="00EB3AC7"/>
    <w:rsid w:val="00F00F85"/>
    <w:rsid w:val="00F10FFF"/>
    <w:rsid w:val="00F2004C"/>
    <w:rsid w:val="00F34D22"/>
    <w:rsid w:val="00F44303"/>
    <w:rsid w:val="00F64E6D"/>
    <w:rsid w:val="00F92914"/>
    <w:rsid w:val="00FC0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302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8BA"/>
    <w:pPr>
      <w:tabs>
        <w:tab w:val="center" w:pos="4320"/>
        <w:tab w:val="right" w:pos="8640"/>
      </w:tabs>
    </w:pPr>
  </w:style>
  <w:style w:type="character" w:customStyle="1" w:styleId="FooterChar">
    <w:name w:val="Footer Char"/>
    <w:basedOn w:val="DefaultParagraphFont"/>
    <w:link w:val="Footer"/>
    <w:uiPriority w:val="99"/>
    <w:rsid w:val="005E78BA"/>
  </w:style>
  <w:style w:type="character" w:styleId="PageNumber">
    <w:name w:val="page number"/>
    <w:basedOn w:val="DefaultParagraphFont"/>
    <w:uiPriority w:val="99"/>
    <w:semiHidden/>
    <w:unhideWhenUsed/>
    <w:rsid w:val="005E78BA"/>
  </w:style>
  <w:style w:type="paragraph" w:styleId="BalloonText">
    <w:name w:val="Balloon Text"/>
    <w:basedOn w:val="Normal"/>
    <w:link w:val="BalloonTextChar"/>
    <w:uiPriority w:val="99"/>
    <w:semiHidden/>
    <w:unhideWhenUsed/>
    <w:rsid w:val="00870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950"/>
    <w:rPr>
      <w:rFonts w:ascii="Lucida Grande" w:hAnsi="Lucida Grande" w:cs="Lucida Grande"/>
      <w:sz w:val="18"/>
      <w:szCs w:val="18"/>
    </w:rPr>
  </w:style>
  <w:style w:type="paragraph" w:styleId="ListParagraph">
    <w:name w:val="List Paragraph"/>
    <w:basedOn w:val="Normal"/>
    <w:uiPriority w:val="34"/>
    <w:qFormat/>
    <w:rsid w:val="007E75C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8BA"/>
    <w:pPr>
      <w:tabs>
        <w:tab w:val="center" w:pos="4320"/>
        <w:tab w:val="right" w:pos="8640"/>
      </w:tabs>
    </w:pPr>
  </w:style>
  <w:style w:type="character" w:customStyle="1" w:styleId="FooterChar">
    <w:name w:val="Footer Char"/>
    <w:basedOn w:val="DefaultParagraphFont"/>
    <w:link w:val="Footer"/>
    <w:uiPriority w:val="99"/>
    <w:rsid w:val="005E78BA"/>
  </w:style>
  <w:style w:type="character" w:styleId="PageNumber">
    <w:name w:val="page number"/>
    <w:basedOn w:val="DefaultParagraphFont"/>
    <w:uiPriority w:val="99"/>
    <w:semiHidden/>
    <w:unhideWhenUsed/>
    <w:rsid w:val="005E78BA"/>
  </w:style>
  <w:style w:type="paragraph" w:styleId="BalloonText">
    <w:name w:val="Balloon Text"/>
    <w:basedOn w:val="Normal"/>
    <w:link w:val="BalloonTextChar"/>
    <w:uiPriority w:val="99"/>
    <w:semiHidden/>
    <w:unhideWhenUsed/>
    <w:rsid w:val="00870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950"/>
    <w:rPr>
      <w:rFonts w:ascii="Lucida Grande" w:hAnsi="Lucida Grande" w:cs="Lucida Grande"/>
      <w:sz w:val="18"/>
      <w:szCs w:val="18"/>
    </w:rPr>
  </w:style>
  <w:style w:type="paragraph" w:styleId="ListParagraph">
    <w:name w:val="List Paragraph"/>
    <w:basedOn w:val="Normal"/>
    <w:uiPriority w:val="34"/>
    <w:qFormat/>
    <w:rsid w:val="007E7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2044-F19C-3540-90B1-37FEAE89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917</Words>
  <Characters>5232</Characters>
  <Application>Microsoft Macintosh Word</Application>
  <DocSecurity>0</DocSecurity>
  <Lines>43</Lines>
  <Paragraphs>12</Paragraphs>
  <ScaleCrop>false</ScaleCrop>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Studholme</dc:creator>
  <cp:keywords/>
  <dc:description/>
  <cp:lastModifiedBy>Joseph Studholme</cp:lastModifiedBy>
  <cp:revision>5</cp:revision>
  <cp:lastPrinted>2014-06-05T00:33:00Z</cp:lastPrinted>
  <dcterms:created xsi:type="dcterms:W3CDTF">2014-06-05T00:33:00Z</dcterms:created>
  <dcterms:modified xsi:type="dcterms:W3CDTF">2014-06-05T01:41:00Z</dcterms:modified>
</cp:coreProperties>
</file>