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0D" w:rsidRPr="001A634C" w:rsidRDefault="0011450D" w:rsidP="001145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bCs w:val="0"/>
          <w:sz w:val="16"/>
          <w:szCs w:val="16"/>
        </w:rPr>
      </w:pPr>
    </w:p>
    <w:tbl>
      <w:tblPr>
        <w:tblW w:w="90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1379"/>
        <w:gridCol w:w="1447"/>
        <w:gridCol w:w="1530"/>
        <w:gridCol w:w="1537"/>
      </w:tblGrid>
      <w:tr w:rsidR="0011450D" w:rsidRPr="001A634C" w:rsidTr="0011450D">
        <w:trPr>
          <w:trHeight w:val="456"/>
          <w:jc w:val="center"/>
        </w:trPr>
        <w:tc>
          <w:tcPr>
            <w:tcW w:w="31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395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2" w:right="-134"/>
              <w:rPr>
                <w:b/>
                <w:sz w:val="20"/>
              </w:rPr>
            </w:pPr>
            <w:r w:rsidRPr="0011450D">
              <w:rPr>
                <w:b/>
                <w:sz w:val="28"/>
              </w:rPr>
              <w:t>Financial Results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1" w:firstLine="101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" w:right="-62"/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" w:right="-62"/>
              <w:jc w:val="center"/>
              <w:rPr>
                <w:b/>
                <w:sz w:val="20"/>
              </w:rPr>
            </w:pP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235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1"/>
              <w:jc w:val="center"/>
              <w:rPr>
                <w:b/>
                <w:sz w:val="20"/>
              </w:rPr>
            </w:pPr>
          </w:p>
        </w:tc>
      </w:tr>
      <w:tr w:rsidR="0011450D" w:rsidRPr="001A634C" w:rsidTr="0011450D">
        <w:trPr>
          <w:trHeight w:val="816"/>
          <w:jc w:val="center"/>
        </w:trPr>
        <w:tc>
          <w:tcPr>
            <w:tcW w:w="31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395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2" w:right="-134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€m</w:t>
            </w:r>
          </w:p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395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2" w:right="-134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(Audited financial statements)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01" w:firstLine="101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2014</w:t>
            </w:r>
          </w:p>
        </w:tc>
        <w:tc>
          <w:tcPr>
            <w:tcW w:w="1447" w:type="dxa"/>
            <w:tcBorders>
              <w:top w:val="single" w:sz="12" w:space="0" w:color="auto"/>
              <w:bottom w:val="single" w:sz="12" w:space="0" w:color="auto"/>
            </w:tcBorders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" w:right="-62"/>
              <w:jc w:val="center"/>
              <w:rPr>
                <w:b/>
                <w:bCs w:val="0"/>
                <w:sz w:val="20"/>
                <w:szCs w:val="20"/>
              </w:rPr>
            </w:pPr>
          </w:p>
          <w:p w:rsidR="0011450D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" w:right="-62"/>
              <w:jc w:val="center"/>
              <w:rPr>
                <w:b/>
                <w:sz w:val="20"/>
              </w:rPr>
            </w:pPr>
            <w:r w:rsidRPr="001A634C">
              <w:rPr>
                <w:b/>
                <w:sz w:val="20"/>
              </w:rPr>
              <w:t>2014 excl.</w:t>
            </w:r>
          </w:p>
          <w:p w:rsidR="0011450D" w:rsidRPr="001A634C" w:rsidDel="00642B64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" w:right="-62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sz w:val="20"/>
              </w:rPr>
              <w:t>4 months</w:t>
            </w:r>
            <w:r w:rsidRPr="001A634C">
              <w:rPr>
                <w:b/>
                <w:sz w:val="20"/>
              </w:rPr>
              <w:t xml:space="preserve"> Jacobson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7" w:right="-62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2013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235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1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Change</w:t>
            </w:r>
          </w:p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235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1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2014 vs 2013</w:t>
            </w:r>
          </w:p>
        </w:tc>
        <w:bookmarkStart w:id="0" w:name="_GoBack"/>
        <w:bookmarkEnd w:id="0"/>
      </w:tr>
      <w:tr w:rsidR="0011450D" w:rsidRPr="001A634C" w:rsidTr="0045175D">
        <w:trPr>
          <w:trHeight w:val="387"/>
          <w:jc w:val="center"/>
        </w:trPr>
        <w:tc>
          <w:tcPr>
            <w:tcW w:w="3143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395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 w:right="-134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Revenues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4,669</w:t>
            </w:r>
          </w:p>
        </w:tc>
        <w:tc>
          <w:tcPr>
            <w:tcW w:w="1447" w:type="dxa"/>
            <w:tcBorders>
              <w:top w:val="single" w:sz="12" w:space="0" w:color="auto"/>
            </w:tcBorders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4,470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4,032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1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+15.8%</w:t>
            </w:r>
          </w:p>
        </w:tc>
      </w:tr>
      <w:tr w:rsidR="0011450D" w:rsidRPr="001A634C" w:rsidTr="0045175D">
        <w:trPr>
          <w:trHeight w:val="387"/>
          <w:jc w:val="center"/>
        </w:trPr>
        <w:tc>
          <w:tcPr>
            <w:tcW w:w="31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395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 w:right="-134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EBITDA*</w:t>
            </w: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288.1</w:t>
            </w:r>
          </w:p>
        </w:tc>
        <w:tc>
          <w:tcPr>
            <w:tcW w:w="1447" w:type="dxa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sz w:val="20"/>
              </w:rPr>
              <w:t>269.6</w:t>
            </w:r>
          </w:p>
        </w:tc>
        <w:tc>
          <w:tcPr>
            <w:tcW w:w="1530" w:type="dxa"/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251.5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1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+14.5%</w:t>
            </w:r>
          </w:p>
        </w:tc>
      </w:tr>
      <w:tr w:rsidR="0011450D" w:rsidRPr="001A634C" w:rsidTr="0045175D">
        <w:trPr>
          <w:trHeight w:val="403"/>
          <w:jc w:val="center"/>
        </w:trPr>
        <w:tc>
          <w:tcPr>
            <w:tcW w:w="31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395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 w:right="-134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EBITA (operating income before goodwill impairment)</w:t>
            </w: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167.9</w:t>
            </w:r>
          </w:p>
        </w:tc>
        <w:tc>
          <w:tcPr>
            <w:tcW w:w="1447" w:type="dxa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154.4</w:t>
            </w:r>
          </w:p>
        </w:tc>
        <w:tc>
          <w:tcPr>
            <w:tcW w:w="1530" w:type="dxa"/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141.7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1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+1</w:t>
            </w:r>
            <w:r>
              <w:rPr>
                <w:b/>
                <w:sz w:val="20"/>
              </w:rPr>
              <w:t>8.6</w:t>
            </w:r>
            <w:r w:rsidRPr="001A634C">
              <w:rPr>
                <w:b/>
                <w:sz w:val="20"/>
              </w:rPr>
              <w:t>%</w:t>
            </w:r>
          </w:p>
        </w:tc>
      </w:tr>
      <w:tr w:rsidR="0011450D" w:rsidRPr="001A634C" w:rsidTr="0045175D">
        <w:trPr>
          <w:trHeight w:val="403"/>
          <w:jc w:val="center"/>
        </w:trPr>
        <w:tc>
          <w:tcPr>
            <w:tcW w:w="31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395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 w:right="-134"/>
              <w:rPr>
                <w:b/>
                <w:bCs w:val="0"/>
                <w:i/>
                <w:sz w:val="20"/>
                <w:szCs w:val="20"/>
              </w:rPr>
            </w:pPr>
            <w:r w:rsidRPr="001A634C">
              <w:rPr>
                <w:b/>
                <w:i/>
                <w:sz w:val="20"/>
              </w:rPr>
              <w:t>EBITA margin (%)</w:t>
            </w: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 w:val="0"/>
                <w:i/>
                <w:sz w:val="20"/>
                <w:szCs w:val="20"/>
              </w:rPr>
            </w:pPr>
            <w:r w:rsidRPr="001A634C">
              <w:rPr>
                <w:b/>
                <w:i/>
                <w:sz w:val="20"/>
              </w:rPr>
              <w:t>3.6%</w:t>
            </w:r>
          </w:p>
        </w:tc>
        <w:tc>
          <w:tcPr>
            <w:tcW w:w="1447" w:type="dxa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i/>
                <w:sz w:val="20"/>
                <w:szCs w:val="20"/>
              </w:rPr>
            </w:pPr>
            <w:r w:rsidRPr="001A634C">
              <w:rPr>
                <w:b/>
                <w:i/>
                <w:sz w:val="20"/>
              </w:rPr>
              <w:t>3.5%</w:t>
            </w:r>
          </w:p>
        </w:tc>
        <w:tc>
          <w:tcPr>
            <w:tcW w:w="1530" w:type="dxa"/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i/>
                <w:sz w:val="20"/>
                <w:szCs w:val="20"/>
              </w:rPr>
            </w:pPr>
            <w:r w:rsidRPr="001A634C">
              <w:rPr>
                <w:b/>
                <w:i/>
                <w:sz w:val="20"/>
              </w:rPr>
              <w:t>3.5%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1"/>
              <w:jc w:val="center"/>
              <w:rPr>
                <w:b/>
                <w:bCs w:val="0"/>
                <w:i/>
                <w:sz w:val="20"/>
                <w:szCs w:val="20"/>
              </w:rPr>
            </w:pPr>
          </w:p>
        </w:tc>
      </w:tr>
      <w:tr w:rsidR="0011450D" w:rsidRPr="001A634C" w:rsidTr="0045175D">
        <w:trPr>
          <w:trHeight w:val="397"/>
          <w:jc w:val="center"/>
        </w:trPr>
        <w:tc>
          <w:tcPr>
            <w:tcW w:w="314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395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7" w:right="-134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Net income Group share</w:t>
            </w:r>
          </w:p>
        </w:tc>
        <w:tc>
          <w:tcPr>
            <w:tcW w:w="137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75.9</w:t>
            </w:r>
          </w:p>
        </w:tc>
        <w:tc>
          <w:tcPr>
            <w:tcW w:w="1447" w:type="dxa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530" w:type="dxa"/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53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70.1</w:t>
            </w:r>
          </w:p>
        </w:tc>
        <w:tc>
          <w:tcPr>
            <w:tcW w:w="153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450D" w:rsidRPr="001A634C" w:rsidRDefault="0011450D" w:rsidP="004517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21"/>
              <w:jc w:val="center"/>
              <w:rPr>
                <w:b/>
                <w:bCs w:val="0"/>
                <w:sz w:val="20"/>
                <w:szCs w:val="20"/>
              </w:rPr>
            </w:pPr>
            <w:r w:rsidRPr="001A634C">
              <w:rPr>
                <w:b/>
                <w:sz w:val="20"/>
              </w:rPr>
              <w:t>+8%</w:t>
            </w:r>
          </w:p>
        </w:tc>
      </w:tr>
    </w:tbl>
    <w:p w:rsidR="0011450D" w:rsidRPr="001A634C" w:rsidRDefault="0011450D" w:rsidP="0011450D">
      <w:pPr>
        <w:jc w:val="center"/>
        <w:rPr>
          <w:rFonts w:ascii="Book Antiqua" w:hAnsi="Book Antiqua"/>
          <w:b/>
        </w:rPr>
      </w:pPr>
      <w:r w:rsidRPr="001A634C">
        <w:rPr>
          <w:rFonts w:ascii="Book Antiqua" w:hAnsi="Book Antiqua"/>
          <w:i/>
          <w:sz w:val="18"/>
        </w:rPr>
        <w:t xml:space="preserve">* </w:t>
      </w:r>
      <w:r w:rsidRPr="00E457D6">
        <w:rPr>
          <w:rFonts w:ascii="Book Antiqua" w:hAnsi="Book Antiqua"/>
          <w:i/>
          <w:sz w:val="18"/>
        </w:rPr>
        <w:t>Operating income before depreciation, impairment and provision charges/</w:t>
      </w:r>
      <w:r>
        <w:rPr>
          <w:rFonts w:ascii="Book Antiqua" w:hAnsi="Book Antiqua"/>
          <w:i/>
          <w:sz w:val="18"/>
        </w:rPr>
        <w:t>releases</w:t>
      </w:r>
    </w:p>
    <w:p w:rsidR="00131E77" w:rsidRDefault="00131E77"/>
    <w:sectPr w:rsidR="00131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0D"/>
    <w:rsid w:val="0011450D"/>
    <w:rsid w:val="00131E77"/>
    <w:rsid w:val="001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0D"/>
    <w:pPr>
      <w:spacing w:line="240" w:lineRule="auto"/>
    </w:pPr>
    <w:rPr>
      <w:rFonts w:ascii="Times" w:eastAsia="Cambria" w:hAnsi="Times" w:cs="Courier"/>
      <w:bCs/>
      <w:color w:val="000000"/>
      <w:sz w:val="24"/>
      <w:szCs w:val="24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0D"/>
    <w:pPr>
      <w:spacing w:line="240" w:lineRule="auto"/>
    </w:pPr>
    <w:rPr>
      <w:rFonts w:ascii="Times" w:eastAsia="Cambria" w:hAnsi="Times" w:cs="Courier"/>
      <w:bCs/>
      <w:color w:val="000000"/>
      <w:sz w:val="24"/>
      <w:szCs w:val="24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Bierfeldt</dc:creator>
  <cp:lastModifiedBy>Jim Bierfeldt</cp:lastModifiedBy>
  <cp:revision>1</cp:revision>
  <dcterms:created xsi:type="dcterms:W3CDTF">2015-02-26T16:52:00Z</dcterms:created>
  <dcterms:modified xsi:type="dcterms:W3CDTF">2015-02-26T16:53:00Z</dcterms:modified>
</cp:coreProperties>
</file>