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3C5C" w:rsidRDefault="00744B20">
      <w:r>
        <w:rPr>
          <w:b/>
        </w:rPr>
        <w:t>Media Advisory</w:t>
      </w:r>
    </w:p>
    <w:p w:rsidR="00E43C5C" w:rsidRDefault="00E43C5C"/>
    <w:p w:rsidR="00E43C5C" w:rsidRDefault="00B31AEC">
      <w:r>
        <w:rPr>
          <w:noProof/>
        </w:rPr>
        <w:drawing>
          <wp:inline distT="0" distB="0" distL="0" distR="0">
            <wp:extent cx="1838325" cy="441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Tio_Logo_250x60.jpg"/>
                    <pic:cNvPicPr/>
                  </pic:nvPicPr>
                  <pic:blipFill>
                    <a:blip r:embed="rId5">
                      <a:extLst>
                        <a:ext uri="{28A0092B-C50C-407E-A947-70E740481C1C}">
                          <a14:useLocalDpi xmlns:a14="http://schemas.microsoft.com/office/drawing/2010/main" val="0"/>
                        </a:ext>
                      </a:extLst>
                    </a:blip>
                    <a:stretch>
                      <a:fillRect/>
                    </a:stretch>
                  </pic:blipFill>
                  <pic:spPr>
                    <a:xfrm>
                      <a:off x="0" y="0"/>
                      <a:ext cx="1881145" cy="451475"/>
                    </a:xfrm>
                    <a:prstGeom prst="rect">
                      <a:avLst/>
                    </a:prstGeom>
                  </pic:spPr>
                </pic:pic>
              </a:graphicData>
            </a:graphic>
          </wp:inline>
        </w:drawing>
      </w:r>
    </w:p>
    <w:p w:rsidR="00B31AEC" w:rsidRDefault="00B31AEC"/>
    <w:p w:rsidR="00132726" w:rsidRDefault="00B31AEC" w:rsidP="009645A7">
      <w:pPr>
        <w:jc w:val="center"/>
      </w:pPr>
      <w:r>
        <w:t xml:space="preserve">wot.io™ </w:t>
      </w:r>
      <w:r w:rsidR="00132726">
        <w:t xml:space="preserve">Announces Silver Sponsorship of </w:t>
      </w:r>
      <w:proofErr w:type="spellStart"/>
      <w:r w:rsidR="009645A7">
        <w:t>LiveWorx</w:t>
      </w:r>
      <w:proofErr w:type="spellEnd"/>
      <w:r w:rsidR="009C265A">
        <w:t xml:space="preserve"> 2015</w:t>
      </w:r>
      <w:r w:rsidR="0000366E">
        <w:t>,</w:t>
      </w:r>
      <w:r w:rsidR="009645A7">
        <w:t xml:space="preserve"> </w:t>
      </w:r>
      <w:r w:rsidR="009C265A">
        <w:t xml:space="preserve">the </w:t>
      </w:r>
      <w:proofErr w:type="spellStart"/>
      <w:r w:rsidR="009C265A">
        <w:t>IoT</w:t>
      </w:r>
      <w:proofErr w:type="spellEnd"/>
      <w:r w:rsidR="009C265A">
        <w:t xml:space="preserve"> Event of the Year </w:t>
      </w:r>
      <w:bookmarkStart w:id="0" w:name="_GoBack"/>
      <w:bookmarkEnd w:id="0"/>
    </w:p>
    <w:p w:rsidR="00132726" w:rsidRDefault="00132726" w:rsidP="00F27120"/>
    <w:p w:rsidR="00E43C5C" w:rsidRPr="00ED1C80" w:rsidRDefault="00283F80" w:rsidP="00ED1C80">
      <w:pPr>
        <w:jc w:val="center"/>
        <w:rPr>
          <w:i/>
        </w:rPr>
      </w:pPr>
      <w:r w:rsidRPr="00132726">
        <w:rPr>
          <w:i/>
        </w:rPr>
        <w:t xml:space="preserve">Live Demos </w:t>
      </w:r>
      <w:r w:rsidR="00F61A98">
        <w:rPr>
          <w:i/>
        </w:rPr>
        <w:t xml:space="preserve">by wot.io </w:t>
      </w:r>
      <w:r w:rsidR="00132726">
        <w:rPr>
          <w:i/>
        </w:rPr>
        <w:t>to</w:t>
      </w:r>
      <w:r w:rsidR="00132726" w:rsidRPr="00132726">
        <w:rPr>
          <w:i/>
        </w:rPr>
        <w:t xml:space="preserve"> showcase </w:t>
      </w:r>
      <w:r w:rsidR="009C265A" w:rsidRPr="00132726">
        <w:rPr>
          <w:i/>
        </w:rPr>
        <w:t xml:space="preserve">the </w:t>
      </w:r>
      <w:r w:rsidR="00B31AEC" w:rsidRPr="00132726">
        <w:rPr>
          <w:i/>
        </w:rPr>
        <w:t>P</w:t>
      </w:r>
      <w:r w:rsidR="00744B20" w:rsidRPr="00132726">
        <w:rPr>
          <w:i/>
        </w:rPr>
        <w:t xml:space="preserve">ower and Ease of Use of its data </w:t>
      </w:r>
      <w:r w:rsidR="00AE3325" w:rsidRPr="00132726">
        <w:rPr>
          <w:i/>
        </w:rPr>
        <w:t>service</w:t>
      </w:r>
      <w:r w:rsidR="00744B20" w:rsidRPr="00132726">
        <w:rPr>
          <w:i/>
        </w:rPr>
        <w:t xml:space="preserve"> exchange™</w:t>
      </w:r>
    </w:p>
    <w:p w:rsidR="00E43C5C" w:rsidRDefault="00E43C5C" w:rsidP="00132726">
      <w:pPr>
        <w:jc w:val="center"/>
      </w:pPr>
    </w:p>
    <w:p w:rsidR="00E43C5C" w:rsidRDefault="00E43C5C"/>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895"/>
        <w:gridCol w:w="6465"/>
      </w:tblGrid>
      <w:tr w:rsidR="00E43C5C">
        <w:trPr>
          <w:trHeight w:val="5700"/>
        </w:trPr>
        <w:tc>
          <w:tcPr>
            <w:tcW w:w="2895" w:type="dxa"/>
            <w:tcMar>
              <w:top w:w="100" w:type="dxa"/>
              <w:left w:w="100" w:type="dxa"/>
              <w:bottom w:w="100" w:type="dxa"/>
              <w:right w:w="100" w:type="dxa"/>
            </w:tcMar>
          </w:tcPr>
          <w:p w:rsidR="00E43C5C" w:rsidRDefault="00744B20">
            <w:pPr>
              <w:widowControl w:val="0"/>
              <w:spacing w:line="240" w:lineRule="auto"/>
            </w:pPr>
            <w:r>
              <w:rPr>
                <w:b/>
              </w:rPr>
              <w:t>WHAT</w:t>
            </w:r>
          </w:p>
        </w:tc>
        <w:tc>
          <w:tcPr>
            <w:tcW w:w="6465" w:type="dxa"/>
            <w:tcMar>
              <w:top w:w="100" w:type="dxa"/>
              <w:left w:w="100" w:type="dxa"/>
              <w:bottom w:w="100" w:type="dxa"/>
              <w:right w:w="100" w:type="dxa"/>
            </w:tcMar>
          </w:tcPr>
          <w:p w:rsidR="00E43C5C" w:rsidRDefault="00744B20" w:rsidP="00ED1C80">
            <w:pPr>
              <w:widowControl w:val="0"/>
            </w:pPr>
            <w:r>
              <w:t xml:space="preserve">wot.io™, </w:t>
            </w:r>
            <w:r w:rsidR="001E77E6">
              <w:t xml:space="preserve">a ThingWorx partner and </w:t>
            </w:r>
            <w:r w:rsidR="00107D9C">
              <w:t xml:space="preserve">a </w:t>
            </w:r>
            <w:r>
              <w:t xml:space="preserve">provider of the leading </w:t>
            </w:r>
            <w:r>
              <w:rPr>
                <w:i/>
              </w:rPr>
              <w:t>data service exchange™</w:t>
            </w:r>
            <w:r>
              <w:t xml:space="preserve"> for connected device platforms, will be demonstrating the power of its operating environment in their booth at </w:t>
            </w:r>
            <w:r w:rsidR="00107D9C">
              <w:t xml:space="preserve">the </w:t>
            </w:r>
            <w:proofErr w:type="spellStart"/>
            <w:r>
              <w:t>LiveWorx</w:t>
            </w:r>
            <w:proofErr w:type="spellEnd"/>
            <w:r w:rsidR="00107D9C">
              <w:t>™</w:t>
            </w:r>
            <w:r>
              <w:t xml:space="preserve"> 2015</w:t>
            </w:r>
            <w:r w:rsidR="00107D9C">
              <w:t xml:space="preserve"> e</w:t>
            </w:r>
            <w:r w:rsidR="00132726">
              <w:t xml:space="preserve">vent, </w:t>
            </w:r>
            <w:r>
              <w:t xml:space="preserve">in Boston, </w:t>
            </w:r>
            <w:r w:rsidR="001E77E6">
              <w:t xml:space="preserve">MA, </w:t>
            </w:r>
            <w:r>
              <w:t xml:space="preserve">May 4-7. </w:t>
            </w:r>
            <w:proofErr w:type="spellStart"/>
            <w:r w:rsidR="00FD7BDC">
              <w:t>wot.io’s</w:t>
            </w:r>
            <w:proofErr w:type="spellEnd"/>
            <w:r>
              <w:t xml:space="preserve"> Smart City </w:t>
            </w:r>
            <w:r w:rsidR="00FD7BDC">
              <w:t xml:space="preserve">Transportation Demo shows the possibilities that can be realized with the variety of data services in </w:t>
            </w:r>
            <w:proofErr w:type="spellStart"/>
            <w:r>
              <w:t>wot.io</w:t>
            </w:r>
            <w:r w:rsidR="00FD7BDC">
              <w:t>’s</w:t>
            </w:r>
            <w:proofErr w:type="spellEnd"/>
            <w:r>
              <w:t xml:space="preserve"> </w:t>
            </w:r>
            <w:r>
              <w:rPr>
                <w:i/>
              </w:rPr>
              <w:t>data service exchange</w:t>
            </w:r>
            <w:r w:rsidR="00961321">
              <w:rPr>
                <w:i/>
              </w:rPr>
              <w:t>™</w:t>
            </w:r>
            <w:r w:rsidR="00FD7BDC">
              <w:rPr>
                <w:i/>
              </w:rPr>
              <w:t>.</w:t>
            </w:r>
            <w:r w:rsidR="00AE3325">
              <w:t xml:space="preserve"> </w:t>
            </w:r>
            <w:r w:rsidR="00FD7BDC">
              <w:t xml:space="preserve">This demonstration showcases </w:t>
            </w:r>
            <w:proofErr w:type="spellStart"/>
            <w:r w:rsidR="00FD7BDC">
              <w:t>wot.io’s</w:t>
            </w:r>
            <w:proofErr w:type="spellEnd"/>
            <w:r w:rsidR="00FD7BDC">
              <w:t xml:space="preserve"> partners including </w:t>
            </w:r>
            <w:proofErr w:type="spellStart"/>
            <w:r>
              <w:t>IoT</w:t>
            </w:r>
            <w:proofErr w:type="spellEnd"/>
            <w:r>
              <w:t>-X</w:t>
            </w:r>
            <w:r w:rsidR="00FD7BDC">
              <w:t xml:space="preserve"> (</w:t>
            </w:r>
            <w:r>
              <w:t>Stream Technologies’ unified access connectivity environment</w:t>
            </w:r>
            <w:r w:rsidR="00FD7BDC">
              <w:t xml:space="preserve">), </w:t>
            </w:r>
            <w:r w:rsidR="009645A7">
              <w:t xml:space="preserve">the </w:t>
            </w:r>
            <w:proofErr w:type="spellStart"/>
            <w:r w:rsidR="009645A7">
              <w:t>ThingWorx</w:t>
            </w:r>
            <w:proofErr w:type="spellEnd"/>
            <w:r w:rsidR="009645A7" w:rsidRPr="00F623BD">
              <w:rPr>
                <w:vertAlign w:val="superscript"/>
              </w:rPr>
              <w:t>®</w:t>
            </w:r>
            <w:r w:rsidR="009645A7">
              <w:t xml:space="preserve"> rapid application development </w:t>
            </w:r>
            <w:proofErr w:type="spellStart"/>
            <w:r w:rsidR="009645A7">
              <w:t>IoT</w:t>
            </w:r>
            <w:proofErr w:type="spellEnd"/>
            <w:r w:rsidR="009645A7">
              <w:t xml:space="preserve"> platform</w:t>
            </w:r>
            <w:r w:rsidR="00FD7BDC">
              <w:t xml:space="preserve">, </w:t>
            </w:r>
            <w:r w:rsidR="00961321" w:rsidRPr="00961321">
              <w:t>ARM</w:t>
            </w:r>
            <w:r w:rsidR="00961321" w:rsidRPr="00961321">
              <w:rPr>
                <w:vertAlign w:val="superscript"/>
              </w:rPr>
              <w:t>®</w:t>
            </w:r>
            <w:r w:rsidR="00961321" w:rsidRPr="00961321">
              <w:t xml:space="preserve"> </w:t>
            </w:r>
            <w:proofErr w:type="spellStart"/>
            <w:r w:rsidR="00961321" w:rsidRPr="00961321">
              <w:t>mbed</w:t>
            </w:r>
            <w:proofErr w:type="spellEnd"/>
            <w:r w:rsidR="00961321" w:rsidRPr="00961321">
              <w:t xml:space="preserve">™, </w:t>
            </w:r>
            <w:proofErr w:type="spellStart"/>
            <w:r w:rsidR="00961321" w:rsidRPr="00961321">
              <w:t>MultiTech</w:t>
            </w:r>
            <w:proofErr w:type="spellEnd"/>
            <w:r w:rsidR="00961321" w:rsidRPr="00961321">
              <w:t>, u-</w:t>
            </w:r>
            <w:proofErr w:type="spellStart"/>
            <w:r w:rsidR="00961321" w:rsidRPr="00961321">
              <w:t>blox</w:t>
            </w:r>
            <w:proofErr w:type="spellEnd"/>
            <w:r w:rsidR="00961321" w:rsidRPr="00961321">
              <w:t xml:space="preserve">, </w:t>
            </w:r>
            <w:proofErr w:type="spellStart"/>
            <w:r w:rsidR="00961321" w:rsidRPr="00961321">
              <w:t>Scriptr</w:t>
            </w:r>
            <w:proofErr w:type="spellEnd"/>
            <w:r w:rsidR="00961321" w:rsidRPr="00961321">
              <w:t xml:space="preserve">, </w:t>
            </w:r>
            <w:proofErr w:type="spellStart"/>
            <w:r w:rsidR="00961321" w:rsidRPr="00961321">
              <w:t>Elasticsearch</w:t>
            </w:r>
            <w:proofErr w:type="spellEnd"/>
            <w:r w:rsidR="00961321" w:rsidRPr="00961321">
              <w:rPr>
                <w:vertAlign w:val="superscript"/>
              </w:rPr>
              <w:t>®</w:t>
            </w:r>
            <w:r w:rsidR="00961321" w:rsidRPr="00961321">
              <w:t xml:space="preserve"> </w:t>
            </w:r>
            <w:r w:rsidR="00961321">
              <w:t>(via</w:t>
            </w:r>
            <w:r w:rsidR="00961321" w:rsidRPr="00961321">
              <w:t xml:space="preserve"> </w:t>
            </w:r>
            <w:proofErr w:type="spellStart"/>
            <w:r w:rsidR="00961321" w:rsidRPr="00961321">
              <w:t>DataArt</w:t>
            </w:r>
            <w:proofErr w:type="spellEnd"/>
            <w:r w:rsidR="00961321">
              <w:t>)</w:t>
            </w:r>
            <w:r w:rsidR="00961321" w:rsidRPr="00961321">
              <w:t>,</w:t>
            </w:r>
            <w:r w:rsidR="00961321">
              <w:t xml:space="preserve"> and </w:t>
            </w:r>
            <w:proofErr w:type="spellStart"/>
            <w:r w:rsidR="00961321">
              <w:t>Kibana</w:t>
            </w:r>
            <w:proofErr w:type="spellEnd"/>
            <w:r w:rsidR="00961321" w:rsidRPr="00961321">
              <w:t>.</w:t>
            </w:r>
          </w:p>
          <w:p w:rsidR="00E43C5C" w:rsidRDefault="00E43C5C" w:rsidP="00ED1C80">
            <w:pPr>
              <w:widowControl w:val="0"/>
            </w:pPr>
          </w:p>
          <w:p w:rsidR="00E43C5C" w:rsidRDefault="00744B20" w:rsidP="00ED1C80">
            <w:pPr>
              <w:widowControl w:val="0"/>
            </w:pPr>
            <w:r>
              <w:t xml:space="preserve">As trucks move through a virtual city, they communicate their positions and other data with various connected devices via satellite, cellular, and other networks. This data will be received by the wot.io operating environment and overlaid with other information such as traffic data and hazard data, resulting in a comprehensive mapping and real-time visualization of vehicles, including positioning, report generation, and more. </w:t>
            </w:r>
            <w:r w:rsidR="00FD7BDC" w:rsidRPr="00FD7BDC">
              <w:t xml:space="preserve">With its </w:t>
            </w:r>
            <w:r w:rsidR="00FD7BDC">
              <w:t>integrated marketplace of third-</w:t>
            </w:r>
            <w:r w:rsidR="00FD7BDC" w:rsidRPr="00FD7BDC">
              <w:t xml:space="preserve">party data services </w:t>
            </w:r>
            <w:hyperlink r:id="rId6" w:tgtFrame="_blank" w:history="1">
              <w:r w:rsidR="00FD7BDC" w:rsidRPr="00FD7BDC">
                <w:rPr>
                  <w:rStyle w:val="Hyperlink"/>
                </w:rPr>
                <w:t>wot.io</w:t>
              </w:r>
            </w:hyperlink>
            <w:r w:rsidR="00FD7BDC" w:rsidRPr="00FD7BDC">
              <w:t xml:space="preserve"> </w:t>
            </w:r>
            <w:r w:rsidR="004E2A3A">
              <w:t>offers</w:t>
            </w:r>
            <w:r w:rsidR="00FD7BDC" w:rsidRPr="00FD7BDC">
              <w:t xml:space="preserve"> customers building </w:t>
            </w:r>
            <w:proofErr w:type="spellStart"/>
            <w:r w:rsidR="00FD7BDC" w:rsidRPr="00FD7BDC">
              <w:t>IoT</w:t>
            </w:r>
            <w:proofErr w:type="spellEnd"/>
            <w:r w:rsidR="00FD7BDC" w:rsidRPr="00FD7BDC">
              <w:t xml:space="preserve"> and M2M solutions choice, quicker time-to-market and scalability.</w:t>
            </w:r>
          </w:p>
        </w:tc>
      </w:tr>
      <w:tr w:rsidR="00E43C5C">
        <w:trPr>
          <w:trHeight w:val="2060"/>
        </w:trPr>
        <w:tc>
          <w:tcPr>
            <w:tcW w:w="2895" w:type="dxa"/>
            <w:tcMar>
              <w:top w:w="100" w:type="dxa"/>
              <w:left w:w="100" w:type="dxa"/>
              <w:bottom w:w="100" w:type="dxa"/>
              <w:right w:w="100" w:type="dxa"/>
            </w:tcMar>
          </w:tcPr>
          <w:p w:rsidR="00E43C5C" w:rsidRDefault="00744B20">
            <w:pPr>
              <w:widowControl w:val="0"/>
              <w:spacing w:line="240" w:lineRule="auto"/>
            </w:pPr>
            <w:r>
              <w:rPr>
                <w:b/>
              </w:rPr>
              <w:t>WHO</w:t>
            </w:r>
          </w:p>
        </w:tc>
        <w:tc>
          <w:tcPr>
            <w:tcW w:w="6465" w:type="dxa"/>
            <w:tcMar>
              <w:top w:w="100" w:type="dxa"/>
              <w:left w:w="100" w:type="dxa"/>
              <w:bottom w:w="100" w:type="dxa"/>
              <w:right w:w="100" w:type="dxa"/>
            </w:tcMar>
          </w:tcPr>
          <w:p w:rsidR="00E43C5C" w:rsidRDefault="00744B20" w:rsidP="00ED1C80">
            <w:pPr>
              <w:widowControl w:val="0"/>
              <w:numPr>
                <w:ilvl w:val="0"/>
                <w:numId w:val="1"/>
              </w:numPr>
              <w:ind w:hanging="360"/>
              <w:contextualSpacing/>
            </w:pPr>
            <w:r>
              <w:t>Mitchell Golner, VP, Product Management</w:t>
            </w:r>
          </w:p>
          <w:p w:rsidR="00E43C5C" w:rsidRDefault="00744B20" w:rsidP="00ED1C80">
            <w:pPr>
              <w:widowControl w:val="0"/>
              <w:numPr>
                <w:ilvl w:val="0"/>
                <w:numId w:val="1"/>
              </w:numPr>
              <w:ind w:hanging="360"/>
              <w:contextualSpacing/>
            </w:pPr>
            <w:r>
              <w:t>Carl Pichotta, VP, Business Development</w:t>
            </w:r>
          </w:p>
          <w:p w:rsidR="00E43C5C" w:rsidRDefault="00744B20" w:rsidP="00ED1C80">
            <w:pPr>
              <w:widowControl w:val="0"/>
              <w:numPr>
                <w:ilvl w:val="0"/>
                <w:numId w:val="1"/>
              </w:numPr>
              <w:ind w:hanging="360"/>
              <w:contextualSpacing/>
            </w:pPr>
            <w:r>
              <w:t>Kevin Smith, Business Development Manager</w:t>
            </w:r>
          </w:p>
          <w:p w:rsidR="00B31AEC" w:rsidRDefault="00B31AEC" w:rsidP="00ED1C80">
            <w:pPr>
              <w:widowControl w:val="0"/>
              <w:numPr>
                <w:ilvl w:val="0"/>
                <w:numId w:val="1"/>
              </w:numPr>
              <w:ind w:hanging="360"/>
              <w:contextualSpacing/>
            </w:pPr>
            <w:r>
              <w:t>Drew Khoury, Sales Engineer</w:t>
            </w:r>
          </w:p>
        </w:tc>
      </w:tr>
      <w:tr w:rsidR="00E43C5C">
        <w:trPr>
          <w:trHeight w:val="980"/>
        </w:trPr>
        <w:tc>
          <w:tcPr>
            <w:tcW w:w="2895" w:type="dxa"/>
            <w:tcMar>
              <w:top w:w="100" w:type="dxa"/>
              <w:left w:w="100" w:type="dxa"/>
              <w:bottom w:w="100" w:type="dxa"/>
              <w:right w:w="100" w:type="dxa"/>
            </w:tcMar>
          </w:tcPr>
          <w:p w:rsidR="00E43C5C" w:rsidRDefault="00744B20">
            <w:pPr>
              <w:widowControl w:val="0"/>
              <w:spacing w:line="240" w:lineRule="auto"/>
            </w:pPr>
            <w:r>
              <w:rPr>
                <w:b/>
              </w:rPr>
              <w:lastRenderedPageBreak/>
              <w:t>WHEN</w:t>
            </w:r>
          </w:p>
        </w:tc>
        <w:tc>
          <w:tcPr>
            <w:tcW w:w="6465" w:type="dxa"/>
            <w:tcMar>
              <w:top w:w="100" w:type="dxa"/>
              <w:left w:w="100" w:type="dxa"/>
              <w:bottom w:w="100" w:type="dxa"/>
              <w:right w:w="100" w:type="dxa"/>
            </w:tcMar>
          </w:tcPr>
          <w:p w:rsidR="009645A7" w:rsidRDefault="00F27120" w:rsidP="00ED1C80">
            <w:pPr>
              <w:widowControl w:val="0"/>
            </w:pPr>
            <w:hyperlink r:id="rId7" w:history="1">
              <w:proofErr w:type="spellStart"/>
              <w:r w:rsidR="009645A7" w:rsidRPr="001E77E6">
                <w:rPr>
                  <w:rStyle w:val="Hyperlink"/>
                </w:rPr>
                <w:t>LiveWorx</w:t>
              </w:r>
              <w:proofErr w:type="spellEnd"/>
              <w:r w:rsidR="009645A7" w:rsidRPr="001E77E6">
                <w:rPr>
                  <w:rStyle w:val="Hyperlink"/>
                </w:rPr>
                <w:t xml:space="preserve"> 2015</w:t>
              </w:r>
            </w:hyperlink>
          </w:p>
          <w:p w:rsidR="00E43C5C" w:rsidRDefault="00744B20" w:rsidP="00ED1C80">
            <w:pPr>
              <w:widowControl w:val="0"/>
            </w:pPr>
            <w:r>
              <w:t>May 4-7, 2015</w:t>
            </w:r>
          </w:p>
          <w:p w:rsidR="00E43C5C" w:rsidRDefault="00744B20" w:rsidP="00ED1C80">
            <w:pPr>
              <w:widowControl w:val="0"/>
            </w:pPr>
            <w:r>
              <w:t>Boston, MA</w:t>
            </w:r>
          </w:p>
        </w:tc>
      </w:tr>
      <w:tr w:rsidR="00E43C5C">
        <w:trPr>
          <w:trHeight w:val="640"/>
        </w:trPr>
        <w:tc>
          <w:tcPr>
            <w:tcW w:w="2895" w:type="dxa"/>
            <w:tcMar>
              <w:top w:w="100" w:type="dxa"/>
              <w:left w:w="100" w:type="dxa"/>
              <w:bottom w:w="100" w:type="dxa"/>
              <w:right w:w="100" w:type="dxa"/>
            </w:tcMar>
          </w:tcPr>
          <w:p w:rsidR="00E43C5C" w:rsidRDefault="00744B20">
            <w:pPr>
              <w:widowControl w:val="0"/>
              <w:spacing w:line="240" w:lineRule="auto"/>
            </w:pPr>
            <w:r>
              <w:rPr>
                <w:b/>
              </w:rPr>
              <w:t>WHERE</w:t>
            </w:r>
          </w:p>
        </w:tc>
        <w:tc>
          <w:tcPr>
            <w:tcW w:w="6465" w:type="dxa"/>
            <w:tcMar>
              <w:top w:w="100" w:type="dxa"/>
              <w:left w:w="100" w:type="dxa"/>
              <w:bottom w:w="100" w:type="dxa"/>
              <w:right w:w="100" w:type="dxa"/>
            </w:tcMar>
          </w:tcPr>
          <w:p w:rsidR="00E43C5C" w:rsidRDefault="00283F80" w:rsidP="00ED1C80">
            <w:pPr>
              <w:widowControl w:val="0"/>
            </w:pPr>
            <w:r>
              <w:t>Live d</w:t>
            </w:r>
            <w:r w:rsidR="00744B20">
              <w:t>emo</w:t>
            </w:r>
            <w:r>
              <w:t>s</w:t>
            </w:r>
            <w:r w:rsidR="00744B20">
              <w:t xml:space="preserve"> will be </w:t>
            </w:r>
            <w:r w:rsidR="009645A7">
              <w:t xml:space="preserve">featured </w:t>
            </w:r>
            <w:r>
              <w:t xml:space="preserve">in </w:t>
            </w:r>
            <w:proofErr w:type="spellStart"/>
            <w:r w:rsidR="00744B20">
              <w:t>wot.io’s</w:t>
            </w:r>
            <w:proofErr w:type="spellEnd"/>
            <w:r w:rsidR="00744B20">
              <w:t xml:space="preserve"> booth </w:t>
            </w:r>
            <w:r w:rsidR="00195BD0">
              <w:t>in the Solutions Showcase.</w:t>
            </w:r>
          </w:p>
        </w:tc>
      </w:tr>
      <w:tr w:rsidR="00E43C5C">
        <w:trPr>
          <w:trHeight w:val="4440"/>
        </w:trPr>
        <w:tc>
          <w:tcPr>
            <w:tcW w:w="2895" w:type="dxa"/>
            <w:tcMar>
              <w:top w:w="100" w:type="dxa"/>
              <w:left w:w="100" w:type="dxa"/>
              <w:bottom w:w="100" w:type="dxa"/>
              <w:right w:w="100" w:type="dxa"/>
            </w:tcMar>
          </w:tcPr>
          <w:p w:rsidR="00E43C5C" w:rsidRDefault="00744B20">
            <w:pPr>
              <w:widowControl w:val="0"/>
              <w:spacing w:line="240" w:lineRule="auto"/>
            </w:pPr>
            <w:r>
              <w:rPr>
                <w:b/>
              </w:rPr>
              <w:t>BACKGROUND</w:t>
            </w:r>
          </w:p>
        </w:tc>
        <w:tc>
          <w:tcPr>
            <w:tcW w:w="6465" w:type="dxa"/>
            <w:tcMar>
              <w:top w:w="100" w:type="dxa"/>
              <w:left w:w="100" w:type="dxa"/>
              <w:bottom w:w="100" w:type="dxa"/>
              <w:right w:w="100" w:type="dxa"/>
            </w:tcMar>
          </w:tcPr>
          <w:p w:rsidR="00E43C5C" w:rsidRDefault="00744B20" w:rsidP="00ED1C80">
            <w:pPr>
              <w:widowControl w:val="0"/>
            </w:pPr>
            <w:proofErr w:type="spellStart"/>
            <w:r>
              <w:t>wot.io’s</w:t>
            </w:r>
            <w:proofErr w:type="spellEnd"/>
            <w:r>
              <w:t xml:space="preserve"> </w:t>
            </w:r>
            <w:r w:rsidRPr="00744B20">
              <w:rPr>
                <w:i/>
              </w:rPr>
              <w:t>data service exchange</w:t>
            </w:r>
            <w:r>
              <w:rPr>
                <w:i/>
              </w:rPr>
              <w:t>™</w:t>
            </w:r>
            <w:r>
              <w:t xml:space="preserve"> provides a marketplace and</w:t>
            </w:r>
            <w:r w:rsidR="00B31AEC">
              <w:t xml:space="preserve"> </w:t>
            </w:r>
            <w:r>
              <w:t xml:space="preserve">operating environment for web applications that leverage the “Internet of Things,” operating on data from connected devices, enabling data aggregation, analysis, and an expansive range of value-added services. </w:t>
            </w:r>
            <w:r w:rsidR="001E77E6">
              <w:t>The combination of wot.io’s data service exchange™ and the ThingWorx</w:t>
            </w:r>
            <w:r w:rsidR="00AB6C48" w:rsidRPr="00AB6C48">
              <w:rPr>
                <w:vertAlign w:val="superscript"/>
              </w:rPr>
              <w:t>®</w:t>
            </w:r>
            <w:r w:rsidR="001E77E6">
              <w:t xml:space="preserve"> rapid application development platform </w:t>
            </w:r>
            <w:r w:rsidR="002C5125">
              <w:t xml:space="preserve">enables customers to </w:t>
            </w:r>
            <w:r>
              <w:t xml:space="preserve">reduce </w:t>
            </w:r>
            <w:r w:rsidR="001E77E6">
              <w:t xml:space="preserve">risk and </w:t>
            </w:r>
            <w:r>
              <w:t xml:space="preserve"> time-to-market by</w:t>
            </w:r>
            <w:r w:rsidR="00E825A6">
              <w:t xml:space="preserve"> allowing customers to</w:t>
            </w:r>
            <w:r>
              <w:t xml:space="preserve"> eliminat</w:t>
            </w:r>
            <w:r w:rsidR="00E825A6">
              <w:t>e</w:t>
            </w:r>
            <w:r>
              <w:t xml:space="preserve"> the time consuming and costly integration required to interconnect best-in-breed data services into an efficient Internet of Things data processing solution. Additionally, wot.io allows customers to easily plug and play different data services into their solution to quickly prototype an</w:t>
            </w:r>
            <w:r w:rsidR="00FD7BDC">
              <w:t xml:space="preserve">d explore with minimal impact. </w:t>
            </w:r>
            <w:proofErr w:type="gramStart"/>
            <w:r>
              <w:t>wot.io</w:t>
            </w:r>
            <w:proofErr w:type="gramEnd"/>
            <w:r>
              <w:t xml:space="preserve"> native ARM® </w:t>
            </w:r>
            <w:proofErr w:type="spellStart"/>
            <w:r>
              <w:t>mbed</w:t>
            </w:r>
            <w:proofErr w:type="spellEnd"/>
            <w:r>
              <w:t xml:space="preserve">™ </w:t>
            </w:r>
            <w:proofErr w:type="spellStart"/>
            <w:r>
              <w:t>IoT</w:t>
            </w:r>
            <w:proofErr w:type="spellEnd"/>
            <w:r>
              <w:t xml:space="preserve"> Device platform support helps to insure best device management with ARM-based devices, including the ability to securely update devices in the field.</w:t>
            </w:r>
          </w:p>
        </w:tc>
      </w:tr>
    </w:tbl>
    <w:p w:rsidR="00E43C5C" w:rsidRDefault="00E43C5C"/>
    <w:p w:rsidR="00E43C5C" w:rsidRDefault="00744B20">
      <w:pPr>
        <w:jc w:val="both"/>
      </w:pPr>
      <w:r>
        <w:rPr>
          <w:b/>
          <w:highlight w:val="white"/>
        </w:rPr>
        <w:t>About wot.io</w:t>
      </w:r>
    </w:p>
    <w:p w:rsidR="00E43C5C" w:rsidRPr="00ED1C80" w:rsidRDefault="00FD7BDC" w:rsidP="00ED1C80">
      <w:pPr>
        <w:rPr>
          <w:sz w:val="20"/>
        </w:rPr>
      </w:pPr>
      <w:r w:rsidRPr="00ED1C80">
        <w:t xml:space="preserve">Founded in 2014, wot.io™ is the </w:t>
      </w:r>
      <w:r w:rsidRPr="00ED1C80">
        <w:rPr>
          <w:i/>
          <w:iCs/>
        </w:rPr>
        <w:t>data service exchange™</w:t>
      </w:r>
      <w:r w:rsidRPr="00ED1C80">
        <w:t xml:space="preserve"> for connected device platforms. </w:t>
      </w:r>
      <w:proofErr w:type="gramStart"/>
      <w:r w:rsidRPr="00ED1C80">
        <w:t>wot.io</w:t>
      </w:r>
      <w:proofErr w:type="gramEnd"/>
      <w:r w:rsidRPr="00ED1C80">
        <w:t xml:space="preserve"> enables the enterprise customer to derive significant value from their data while dramatically accelerating time-to-market for Internet of Things (</w:t>
      </w:r>
      <w:proofErr w:type="spellStart"/>
      <w:r w:rsidRPr="00ED1C80">
        <w:t>IoT</w:t>
      </w:r>
      <w:proofErr w:type="spellEnd"/>
      <w:r w:rsidRPr="00ED1C80">
        <w:t xml:space="preserve">) and Machine to Machine (M2M) implementations. </w:t>
      </w:r>
      <w:proofErr w:type="spellStart"/>
      <w:r w:rsidRPr="00ED1C80">
        <w:t>wot.io’s</w:t>
      </w:r>
      <w:proofErr w:type="spellEnd"/>
      <w:r w:rsidRPr="00ED1C80">
        <w:t xml:space="preserve"> integrated marketplace of best-in-class data services enables customers to focus on building their solution while freeing them from the time consuming effort of making contractual agreements and technically integrating each data service. Through choice, time-to-market and scalability we help our customers to drive ROI and increase revenue with their solution using analytics, business intelligence, data retention, device management, data management, monitoring, visualization, web API automation and other offerings.</w:t>
      </w:r>
    </w:p>
    <w:p w:rsidR="00E43C5C" w:rsidRDefault="00E43C5C"/>
    <w:p w:rsidR="00744B20" w:rsidRPr="00ED1C80" w:rsidRDefault="00744B20" w:rsidP="00ED1C80">
      <w:pPr>
        <w:pStyle w:val="Normal1"/>
        <w:spacing w:line="240" w:lineRule="auto"/>
        <w:rPr>
          <w:sz w:val="20"/>
        </w:rPr>
      </w:pPr>
      <w:r w:rsidRPr="00ED1C80">
        <w:rPr>
          <w:sz w:val="20"/>
          <w:szCs w:val="20"/>
        </w:rPr>
        <w:t xml:space="preserve">wot.io and its logo, and </w:t>
      </w:r>
      <w:r w:rsidRPr="00ED1C80">
        <w:rPr>
          <w:i/>
          <w:sz w:val="20"/>
          <w:szCs w:val="20"/>
        </w:rPr>
        <w:t>data service exchange</w:t>
      </w:r>
      <w:r w:rsidRPr="00ED1C80">
        <w:rPr>
          <w:sz w:val="20"/>
          <w:szCs w:val="20"/>
        </w:rPr>
        <w:t xml:space="preserve"> are trademarks of WoT.io, Inc. ARM is a registered trademark and mbed is a trademark of ARM Limited (or its subsidiaries) in the EU and/or elsewhere. </w:t>
      </w:r>
      <w:r w:rsidR="0000366E" w:rsidRPr="00ED1C80">
        <w:rPr>
          <w:sz w:val="20"/>
        </w:rPr>
        <w:t>LiveWorx, ThingWorx and PTC are trademarks or registered trademarks of PTC Inc. or its subsidiaries in the United States and in other countries.</w:t>
      </w:r>
      <w:r w:rsidR="00FD7BDC">
        <w:rPr>
          <w:sz w:val="20"/>
          <w:szCs w:val="20"/>
        </w:rPr>
        <w:t xml:space="preserve"> </w:t>
      </w:r>
      <w:r w:rsidRPr="00ED1C80">
        <w:rPr>
          <w:sz w:val="20"/>
          <w:szCs w:val="20"/>
        </w:rPr>
        <w:t>All other company or product names, brands, trademarks, and logos are the property of their respective owners.</w:t>
      </w:r>
    </w:p>
    <w:p w:rsidR="00744B20" w:rsidRDefault="00744B20"/>
    <w:p w:rsidR="00E43C5C" w:rsidRPr="00ED1C80" w:rsidRDefault="00744B20">
      <w:pPr>
        <w:rPr>
          <w:sz w:val="20"/>
        </w:rPr>
      </w:pPr>
      <w:r w:rsidRPr="00ED1C80">
        <w:rPr>
          <w:b/>
          <w:sz w:val="20"/>
        </w:rPr>
        <w:t>Media Contact</w:t>
      </w:r>
    </w:p>
    <w:p w:rsidR="00E43C5C" w:rsidRPr="00ED1C80" w:rsidRDefault="00744B20">
      <w:pPr>
        <w:rPr>
          <w:sz w:val="20"/>
        </w:rPr>
      </w:pPr>
      <w:r w:rsidRPr="00ED1C80">
        <w:rPr>
          <w:sz w:val="20"/>
        </w:rPr>
        <w:t>Rita Schuerman</w:t>
      </w:r>
    </w:p>
    <w:p w:rsidR="00E43C5C" w:rsidRPr="00ED1C80" w:rsidRDefault="00744B20">
      <w:pPr>
        <w:rPr>
          <w:sz w:val="20"/>
        </w:rPr>
      </w:pPr>
      <w:r w:rsidRPr="00ED1C80">
        <w:rPr>
          <w:sz w:val="20"/>
        </w:rPr>
        <w:t xml:space="preserve">Email: </w:t>
      </w:r>
      <w:hyperlink r:id="rId8" w:history="1">
        <w:r w:rsidRPr="00ED1C80">
          <w:rPr>
            <w:rStyle w:val="Hyperlink"/>
            <w:sz w:val="20"/>
          </w:rPr>
          <w:t>rita@wot.io</w:t>
        </w:r>
      </w:hyperlink>
      <w:r w:rsidRPr="00ED1C80">
        <w:rPr>
          <w:color w:val="1155CC"/>
          <w:sz w:val="20"/>
          <w:u w:val="single"/>
        </w:rPr>
        <w:t xml:space="preserve">  </w:t>
      </w:r>
    </w:p>
    <w:p w:rsidR="00E43C5C" w:rsidRPr="00ED1C80" w:rsidRDefault="00744B20">
      <w:pPr>
        <w:rPr>
          <w:sz w:val="20"/>
        </w:rPr>
      </w:pPr>
      <w:r w:rsidRPr="00ED1C80">
        <w:rPr>
          <w:sz w:val="20"/>
        </w:rPr>
        <w:t>+1 (215) 510-2632</w:t>
      </w:r>
    </w:p>
    <w:sectPr w:rsidR="00E43C5C" w:rsidRPr="00ED1C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A5A06"/>
    <w:multiLevelType w:val="multilevel"/>
    <w:tmpl w:val="B03A3D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5C"/>
    <w:rsid w:val="0000366E"/>
    <w:rsid w:val="000A0DA1"/>
    <w:rsid w:val="000E3504"/>
    <w:rsid w:val="000E79AC"/>
    <w:rsid w:val="00107D9C"/>
    <w:rsid w:val="00132726"/>
    <w:rsid w:val="00134EF6"/>
    <w:rsid w:val="00183967"/>
    <w:rsid w:val="00195BD0"/>
    <w:rsid w:val="001E77E6"/>
    <w:rsid w:val="00206E99"/>
    <w:rsid w:val="00283F80"/>
    <w:rsid w:val="002C5125"/>
    <w:rsid w:val="002D6969"/>
    <w:rsid w:val="0032166A"/>
    <w:rsid w:val="00375959"/>
    <w:rsid w:val="004161C8"/>
    <w:rsid w:val="004E2A3A"/>
    <w:rsid w:val="0050630B"/>
    <w:rsid w:val="00534972"/>
    <w:rsid w:val="00644213"/>
    <w:rsid w:val="00660AAA"/>
    <w:rsid w:val="0066103E"/>
    <w:rsid w:val="006A7EB0"/>
    <w:rsid w:val="00731F39"/>
    <w:rsid w:val="00744B20"/>
    <w:rsid w:val="007D4CFD"/>
    <w:rsid w:val="008671AA"/>
    <w:rsid w:val="00896ED1"/>
    <w:rsid w:val="00961321"/>
    <w:rsid w:val="009645A7"/>
    <w:rsid w:val="009C265A"/>
    <w:rsid w:val="00A43E1B"/>
    <w:rsid w:val="00A468AF"/>
    <w:rsid w:val="00A73EBF"/>
    <w:rsid w:val="00A751D9"/>
    <w:rsid w:val="00AB6C48"/>
    <w:rsid w:val="00AD345F"/>
    <w:rsid w:val="00AE3325"/>
    <w:rsid w:val="00B131F3"/>
    <w:rsid w:val="00B31AEC"/>
    <w:rsid w:val="00B45F24"/>
    <w:rsid w:val="00C12B3C"/>
    <w:rsid w:val="00C72048"/>
    <w:rsid w:val="00CA2341"/>
    <w:rsid w:val="00D14CC5"/>
    <w:rsid w:val="00D7344C"/>
    <w:rsid w:val="00E43C5C"/>
    <w:rsid w:val="00E825A6"/>
    <w:rsid w:val="00ED1C80"/>
    <w:rsid w:val="00F27120"/>
    <w:rsid w:val="00F61A98"/>
    <w:rsid w:val="00F623BD"/>
    <w:rsid w:val="00FB5D97"/>
    <w:rsid w:val="00FD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41424-0CBF-4462-8A9C-66D112EF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744B20"/>
    <w:rPr>
      <w:color w:val="0563C1" w:themeColor="hyperlink"/>
      <w:u w:val="single"/>
    </w:rPr>
  </w:style>
  <w:style w:type="paragraph" w:styleId="BalloonText">
    <w:name w:val="Balloon Text"/>
    <w:basedOn w:val="Normal"/>
    <w:link w:val="BalloonTextChar"/>
    <w:uiPriority w:val="99"/>
    <w:semiHidden/>
    <w:unhideWhenUsed/>
    <w:rsid w:val="001327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726"/>
    <w:rPr>
      <w:rFonts w:ascii="Tahoma" w:hAnsi="Tahoma" w:cs="Tahoma"/>
      <w:sz w:val="16"/>
      <w:szCs w:val="16"/>
    </w:rPr>
  </w:style>
  <w:style w:type="paragraph" w:customStyle="1" w:styleId="Normal1">
    <w:name w:val="Normal1"/>
    <w:rsid w:val="0000366E"/>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ta@wot.io" TargetMode="External"/><Relationship Id="rId3" Type="http://schemas.openxmlformats.org/officeDocument/2006/relationships/settings" Target="settings.xml"/><Relationship Id="rId7" Type="http://schemas.openxmlformats.org/officeDocument/2006/relationships/hyperlink" Target="http://liveworx.thingwor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t.io"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4</cp:revision>
  <cp:lastPrinted>2015-04-22T16:10:00Z</cp:lastPrinted>
  <dcterms:created xsi:type="dcterms:W3CDTF">2015-04-24T16:10:00Z</dcterms:created>
  <dcterms:modified xsi:type="dcterms:W3CDTF">2015-04-24T16:13:00Z</dcterms:modified>
</cp:coreProperties>
</file>