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673F9" w14:textId="77777777" w:rsidR="00921A27" w:rsidRPr="00437C36" w:rsidRDefault="00921A27" w:rsidP="00921A27">
      <w:pPr>
        <w:ind w:right="-720"/>
        <w:rPr>
          <w:rFonts w:cstheme="minorHAnsi"/>
          <w:b/>
          <w:sz w:val="28"/>
          <w:szCs w:val="28"/>
          <w:u w:val="single"/>
        </w:rPr>
      </w:pPr>
      <w:r>
        <w:rPr>
          <w:noProof/>
        </w:rPr>
        <w:drawing>
          <wp:anchor distT="0" distB="0" distL="114300" distR="114300" simplePos="0" relativeHeight="251660288" behindDoc="0" locked="0" layoutInCell="1" allowOverlap="1" wp14:anchorId="00490BC8" wp14:editId="0D55964E">
            <wp:simplePos x="0" y="0"/>
            <wp:positionH relativeFrom="column">
              <wp:posOffset>-69215</wp:posOffset>
            </wp:positionH>
            <wp:positionV relativeFrom="paragraph">
              <wp:posOffset>-107011</wp:posOffset>
            </wp:positionV>
            <wp:extent cx="3156006" cy="874644"/>
            <wp:effectExtent l="0" t="0" r="6350" b="1905"/>
            <wp:wrapNone/>
            <wp:docPr id="2" name="Picture 2" descr="C:\Users\a0n004\AppData\Local\Microsoft\Windows\Temporary Internet Files\Content.Word\BCBS_Center_Prevention_horz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0n004\AppData\Local\Microsoft\Windows\Temporary Internet Files\Content.Word\BCBS_Center_Prevention_horz_blue.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870" r="3912"/>
                    <a:stretch/>
                  </pic:blipFill>
                  <pic:spPr bwMode="auto">
                    <a:xfrm>
                      <a:off x="0" y="0"/>
                      <a:ext cx="3156006" cy="8746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7C36">
        <w:rPr>
          <w:rFonts w:cstheme="minorHAnsi"/>
          <w:noProof/>
        </w:rPr>
        <mc:AlternateContent>
          <mc:Choice Requires="wps">
            <w:drawing>
              <wp:anchor distT="0" distB="0" distL="114300" distR="114300" simplePos="0" relativeHeight="251659264" behindDoc="0" locked="0" layoutInCell="1" allowOverlap="1" wp14:anchorId="2773ECFB" wp14:editId="25571558">
                <wp:simplePos x="0" y="0"/>
                <wp:positionH relativeFrom="column">
                  <wp:posOffset>3601195</wp:posOffset>
                </wp:positionH>
                <wp:positionV relativeFrom="paragraph">
                  <wp:posOffset>-39674</wp:posOffset>
                </wp:positionV>
                <wp:extent cx="2362200" cy="11449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4A994" w14:textId="77777777" w:rsidR="00921A27" w:rsidRPr="00704B5A" w:rsidRDefault="00921A27" w:rsidP="008B5CBF">
                            <w:pPr>
                              <w:spacing w:after="0" w:line="240" w:lineRule="auto"/>
                              <w:rPr>
                                <w:rFonts w:ascii="Calibri" w:hAnsi="Calibri" w:cs="Calibri"/>
                                <w:b/>
                                <w:sz w:val="20"/>
                              </w:rPr>
                            </w:pPr>
                            <w:r w:rsidRPr="00704B5A">
                              <w:rPr>
                                <w:rFonts w:ascii="Calibri" w:hAnsi="Calibri" w:cs="Calibri"/>
                                <w:b/>
                                <w:sz w:val="20"/>
                              </w:rPr>
                              <w:t>Contact:</w:t>
                            </w:r>
                          </w:p>
                          <w:p w14:paraId="663A6D2A" w14:textId="77777777" w:rsidR="00921A27" w:rsidRPr="004E2097" w:rsidRDefault="00921A27" w:rsidP="008B5CBF">
                            <w:pPr>
                              <w:spacing w:after="0" w:line="240" w:lineRule="auto"/>
                              <w:rPr>
                                <w:rFonts w:ascii="Calibri" w:hAnsi="Calibri" w:cs="Calibri"/>
                                <w:sz w:val="20"/>
                              </w:rPr>
                            </w:pPr>
                            <w:r>
                              <w:rPr>
                                <w:rFonts w:ascii="Calibri" w:hAnsi="Calibri" w:cs="Calibri"/>
                                <w:sz w:val="20"/>
                              </w:rPr>
                              <w:t>Katy Schultz,</w:t>
                            </w:r>
                            <w:r w:rsidRPr="004E2097">
                              <w:rPr>
                                <w:rFonts w:ascii="Calibri" w:hAnsi="Calibri" w:cs="Calibri"/>
                                <w:sz w:val="20"/>
                              </w:rPr>
                              <w:t xml:space="preserve"> Communications</w:t>
                            </w:r>
                          </w:p>
                          <w:p w14:paraId="6A7AD70C" w14:textId="77777777" w:rsidR="00921A27" w:rsidRPr="004E2097" w:rsidRDefault="00921A27" w:rsidP="008B5CBF">
                            <w:pPr>
                              <w:spacing w:after="0" w:line="240" w:lineRule="auto"/>
                              <w:rPr>
                                <w:rFonts w:ascii="Calibri" w:hAnsi="Calibri" w:cs="Calibri"/>
                                <w:sz w:val="20"/>
                              </w:rPr>
                            </w:pPr>
                            <w:r w:rsidRPr="004E2097">
                              <w:rPr>
                                <w:rFonts w:ascii="Calibri" w:hAnsi="Calibri" w:cs="Calibri"/>
                                <w:sz w:val="20"/>
                              </w:rPr>
                              <w:t>Center for Prevention</w:t>
                            </w:r>
                          </w:p>
                          <w:p w14:paraId="0598CBB1" w14:textId="77777777" w:rsidR="00921A27" w:rsidRPr="008B5CBF" w:rsidRDefault="00921A27" w:rsidP="008B5CBF">
                            <w:pPr>
                              <w:spacing w:after="0" w:line="240" w:lineRule="auto"/>
                              <w:rPr>
                                <w:rFonts w:ascii="Calibri" w:hAnsi="Calibri" w:cs="Calibri"/>
                                <w:sz w:val="20"/>
                              </w:rPr>
                            </w:pPr>
                            <w:r w:rsidRPr="008B5CBF">
                              <w:rPr>
                                <w:rFonts w:ascii="Calibri" w:hAnsi="Calibri" w:cs="Calibri"/>
                                <w:sz w:val="20"/>
                              </w:rPr>
                              <w:t>651-662-8487 (office)</w:t>
                            </w:r>
                          </w:p>
                          <w:p w14:paraId="51CB0118" w14:textId="3E24D387" w:rsidR="00921A27" w:rsidRPr="008B5CBF" w:rsidRDefault="008B5CBF" w:rsidP="008B5CBF">
                            <w:pPr>
                              <w:spacing w:after="0" w:line="240" w:lineRule="auto"/>
                              <w:rPr>
                                <w:rFonts w:ascii="Calibri" w:hAnsi="Calibri" w:cs="Calibri"/>
                                <w:sz w:val="20"/>
                              </w:rPr>
                            </w:pPr>
                            <w:r>
                              <w:rPr>
                                <w:rFonts w:ascii="Calibri" w:hAnsi="Calibri" w:cs="Calibri"/>
                                <w:sz w:val="20"/>
                              </w:rPr>
                              <w:t>612-247-2873</w:t>
                            </w:r>
                            <w:r w:rsidR="00921A27" w:rsidRPr="008B5CBF">
                              <w:rPr>
                                <w:rFonts w:ascii="Calibri" w:hAnsi="Calibri" w:cs="Calibri"/>
                                <w:sz w:val="20"/>
                              </w:rPr>
                              <w:t xml:space="preserve"> (cell)</w:t>
                            </w:r>
                          </w:p>
                          <w:p w14:paraId="73F5CD9B" w14:textId="039B12B4" w:rsidR="00921A27" w:rsidRPr="00F85506" w:rsidRDefault="00404026" w:rsidP="008B5CBF">
                            <w:pPr>
                              <w:spacing w:after="0" w:line="240" w:lineRule="auto"/>
                              <w:rPr>
                                <w:rFonts w:ascii="Calibri" w:hAnsi="Calibri" w:cs="Calibri"/>
                                <w:sz w:val="20"/>
                              </w:rPr>
                            </w:pPr>
                            <w:hyperlink r:id="rId6" w:history="1">
                              <w:r w:rsidR="008B5CBF" w:rsidRPr="00273D53">
                                <w:rPr>
                                  <w:rStyle w:val="Hyperlink"/>
                                  <w:rFonts w:ascii="Calibri" w:hAnsi="Calibri" w:cs="Calibri"/>
                                  <w:sz w:val="20"/>
                                </w:rPr>
                                <w:t>katy.schultz@bluecrossmn.com</w:t>
                              </w:r>
                            </w:hyperlink>
                            <w:r w:rsidR="00921A27" w:rsidRPr="00F85506">
                              <w:rPr>
                                <w:rFonts w:ascii="Calibri" w:hAnsi="Calibri" w:cs="Calibri"/>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3ECFB" id="_x0000_t202" coordsize="21600,21600" o:spt="202" path="m,l,21600r21600,l21600,xe">
                <v:stroke joinstyle="miter"/>
                <v:path gradientshapeok="t" o:connecttype="rect"/>
              </v:shapetype>
              <v:shape id="Text Box 3" o:spid="_x0000_s1026" type="#_x0000_t202" style="position:absolute;margin-left:283.55pt;margin-top:-3.1pt;width:186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bLggIAABA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" stroked="f">
                <v:textbox>
                  <w:txbxContent>
                    <w:p w14:paraId="5494A994" w14:textId="77777777" w:rsidR="00921A27" w:rsidRPr="00704B5A" w:rsidRDefault="00921A27" w:rsidP="008B5CBF">
                      <w:pPr>
                        <w:spacing w:after="0" w:line="240" w:lineRule="auto"/>
                        <w:rPr>
                          <w:rFonts w:ascii="Calibri" w:hAnsi="Calibri" w:cs="Calibri"/>
                          <w:b/>
                          <w:sz w:val="20"/>
                        </w:rPr>
                      </w:pPr>
                      <w:r w:rsidRPr="00704B5A">
                        <w:rPr>
                          <w:rFonts w:ascii="Calibri" w:hAnsi="Calibri" w:cs="Calibri"/>
                          <w:b/>
                          <w:sz w:val="20"/>
                        </w:rPr>
                        <w:t>Contact:</w:t>
                      </w:r>
                    </w:p>
                    <w:p w14:paraId="663A6D2A" w14:textId="77777777" w:rsidR="00921A27" w:rsidRPr="004E2097" w:rsidRDefault="00921A27" w:rsidP="008B5CBF">
                      <w:pPr>
                        <w:spacing w:after="0" w:line="240" w:lineRule="auto"/>
                        <w:rPr>
                          <w:rFonts w:ascii="Calibri" w:hAnsi="Calibri" w:cs="Calibri"/>
                          <w:sz w:val="20"/>
                        </w:rPr>
                      </w:pPr>
                      <w:r>
                        <w:rPr>
                          <w:rFonts w:ascii="Calibri" w:hAnsi="Calibri" w:cs="Calibri"/>
                          <w:sz w:val="20"/>
                        </w:rPr>
                        <w:t>Katy Schultz,</w:t>
                      </w:r>
                      <w:r w:rsidRPr="004E2097">
                        <w:rPr>
                          <w:rFonts w:ascii="Calibri" w:hAnsi="Calibri" w:cs="Calibri"/>
                          <w:sz w:val="20"/>
                        </w:rPr>
                        <w:t xml:space="preserve"> Communications</w:t>
                      </w:r>
                    </w:p>
                    <w:p w14:paraId="6A7AD70C" w14:textId="77777777" w:rsidR="00921A27" w:rsidRPr="004E2097" w:rsidRDefault="00921A27" w:rsidP="008B5CBF">
                      <w:pPr>
                        <w:spacing w:after="0" w:line="240" w:lineRule="auto"/>
                        <w:rPr>
                          <w:rFonts w:ascii="Calibri" w:hAnsi="Calibri" w:cs="Calibri"/>
                          <w:sz w:val="20"/>
                        </w:rPr>
                      </w:pPr>
                      <w:r w:rsidRPr="004E2097">
                        <w:rPr>
                          <w:rFonts w:ascii="Calibri" w:hAnsi="Calibri" w:cs="Calibri"/>
                          <w:sz w:val="20"/>
                        </w:rPr>
                        <w:t>Center for Prevention</w:t>
                      </w:r>
                    </w:p>
                    <w:p w14:paraId="0598CBB1" w14:textId="77777777" w:rsidR="00921A27" w:rsidRPr="008B5CBF" w:rsidRDefault="00921A27" w:rsidP="008B5CBF">
                      <w:pPr>
                        <w:spacing w:after="0" w:line="240" w:lineRule="auto"/>
                        <w:rPr>
                          <w:rFonts w:ascii="Calibri" w:hAnsi="Calibri" w:cs="Calibri"/>
                          <w:sz w:val="20"/>
                        </w:rPr>
                      </w:pPr>
                      <w:r w:rsidRPr="008B5CBF">
                        <w:rPr>
                          <w:rFonts w:ascii="Calibri" w:hAnsi="Calibri" w:cs="Calibri"/>
                          <w:sz w:val="20"/>
                        </w:rPr>
                        <w:t>651-662-8487 (office)</w:t>
                      </w:r>
                    </w:p>
                    <w:p w14:paraId="51CB0118" w14:textId="3E24D387" w:rsidR="00921A27" w:rsidRPr="008B5CBF" w:rsidRDefault="008B5CBF" w:rsidP="008B5CBF">
                      <w:pPr>
                        <w:spacing w:after="0" w:line="240" w:lineRule="auto"/>
                        <w:rPr>
                          <w:rFonts w:ascii="Calibri" w:hAnsi="Calibri" w:cs="Calibri"/>
                          <w:sz w:val="20"/>
                        </w:rPr>
                      </w:pPr>
                      <w:r>
                        <w:rPr>
                          <w:rFonts w:ascii="Calibri" w:hAnsi="Calibri" w:cs="Calibri"/>
                          <w:sz w:val="20"/>
                        </w:rPr>
                        <w:t>612-247-2873</w:t>
                      </w:r>
                      <w:r w:rsidR="00921A27" w:rsidRPr="008B5CBF">
                        <w:rPr>
                          <w:rFonts w:ascii="Calibri" w:hAnsi="Calibri" w:cs="Calibri"/>
                          <w:sz w:val="20"/>
                        </w:rPr>
                        <w:t xml:space="preserve"> (cell)</w:t>
                      </w:r>
                    </w:p>
                    <w:p w14:paraId="73F5CD9B" w14:textId="039B12B4" w:rsidR="00921A27" w:rsidRPr="00F85506" w:rsidRDefault="008B5CBF" w:rsidP="008B5CBF">
                      <w:pPr>
                        <w:spacing w:after="0" w:line="240" w:lineRule="auto"/>
                        <w:rPr>
                          <w:rFonts w:ascii="Calibri" w:hAnsi="Calibri" w:cs="Calibri"/>
                          <w:sz w:val="20"/>
                        </w:rPr>
                      </w:pPr>
                      <w:hyperlink r:id="rId7" w:history="1">
                        <w:r w:rsidRPr="00273D53">
                          <w:rPr>
                            <w:rStyle w:val="Hyperlink"/>
                            <w:rFonts w:ascii="Calibri" w:hAnsi="Calibri" w:cs="Calibri"/>
                            <w:sz w:val="20"/>
                          </w:rPr>
                          <w:t>katy.schultz@bluecrossmn.com</w:t>
                        </w:r>
                      </w:hyperlink>
                      <w:r w:rsidR="00921A27" w:rsidRPr="00F85506">
                        <w:rPr>
                          <w:rFonts w:ascii="Calibri" w:hAnsi="Calibri" w:cs="Calibri"/>
                          <w:sz w:val="20"/>
                        </w:rPr>
                        <w:t xml:space="preserve"> </w:t>
                      </w:r>
                    </w:p>
                  </w:txbxContent>
                </v:textbox>
              </v:shape>
            </w:pict>
          </mc:Fallback>
        </mc:AlternateContent>
      </w:r>
      <w:r w:rsidRPr="00437C36">
        <w:rPr>
          <w:rFonts w:ascii="Calibri" w:hAnsi="Calibri" w:cs="Calibri"/>
          <w:color w:val="000000"/>
          <w:sz w:val="20"/>
        </w:rPr>
        <w:t xml:space="preserve"> </w:t>
      </w:r>
    </w:p>
    <w:p w14:paraId="057BFFE9" w14:textId="77777777" w:rsidR="00921A27" w:rsidRPr="00437C36" w:rsidRDefault="00921A27" w:rsidP="00921A27">
      <w:pPr>
        <w:ind w:right="-720"/>
        <w:rPr>
          <w:rFonts w:cstheme="minorHAnsi"/>
          <w:b/>
          <w:sz w:val="28"/>
          <w:szCs w:val="28"/>
          <w:u w:val="single"/>
        </w:rPr>
      </w:pPr>
    </w:p>
    <w:p w14:paraId="01154911" w14:textId="77777777" w:rsidR="00921A27" w:rsidRPr="00437C36" w:rsidRDefault="00921A27" w:rsidP="00921A27">
      <w:pPr>
        <w:ind w:right="-720"/>
        <w:rPr>
          <w:rFonts w:cstheme="minorHAnsi"/>
          <w:b/>
          <w:sz w:val="28"/>
          <w:szCs w:val="28"/>
          <w:u w:val="single"/>
        </w:rPr>
      </w:pPr>
    </w:p>
    <w:p w14:paraId="28A0C63A" w14:textId="77777777" w:rsidR="00921A27" w:rsidRDefault="00921A27" w:rsidP="00921A27">
      <w:pPr>
        <w:ind w:right="-720"/>
        <w:rPr>
          <w:rFonts w:cstheme="minorHAnsi"/>
          <w:b/>
          <w:sz w:val="28"/>
          <w:szCs w:val="28"/>
          <w:u w:val="single"/>
        </w:rPr>
      </w:pPr>
    </w:p>
    <w:p w14:paraId="3AE169A0" w14:textId="77777777" w:rsidR="00921A27" w:rsidRDefault="00921A27" w:rsidP="00921A27">
      <w:pPr>
        <w:ind w:right="-720"/>
        <w:rPr>
          <w:rFonts w:cstheme="minorHAnsi"/>
          <w:b/>
          <w:sz w:val="28"/>
          <w:szCs w:val="28"/>
          <w:u w:val="single"/>
        </w:rPr>
      </w:pPr>
    </w:p>
    <w:p w14:paraId="749DFA33" w14:textId="77777777" w:rsidR="00921A27" w:rsidRPr="00794F02" w:rsidRDefault="00921A27" w:rsidP="00921A27">
      <w:pPr>
        <w:ind w:right="-720"/>
        <w:rPr>
          <w:rFonts w:cstheme="minorHAnsi"/>
          <w:b/>
          <w:sz w:val="28"/>
          <w:szCs w:val="28"/>
          <w:u w:val="single"/>
        </w:rPr>
      </w:pPr>
      <w:r w:rsidRPr="00794F02">
        <w:rPr>
          <w:rFonts w:cstheme="minorHAnsi"/>
          <w:b/>
          <w:sz w:val="28"/>
          <w:szCs w:val="28"/>
          <w:u w:val="single"/>
        </w:rPr>
        <w:t>FOR IMMEDIATE RELEASE</w:t>
      </w:r>
    </w:p>
    <w:p w14:paraId="6B945B3B" w14:textId="77777777" w:rsidR="00AB4AE8" w:rsidRDefault="00AB4AE8" w:rsidP="008B5CBF">
      <w:pPr>
        <w:spacing w:after="0" w:line="240" w:lineRule="auto"/>
        <w:jc w:val="center"/>
        <w:rPr>
          <w:b/>
          <w:sz w:val="28"/>
        </w:rPr>
      </w:pPr>
    </w:p>
    <w:p w14:paraId="357CC512" w14:textId="77777777" w:rsidR="0071224C" w:rsidRDefault="00921A27" w:rsidP="008B5CBF">
      <w:pPr>
        <w:spacing w:after="0" w:line="240" w:lineRule="auto"/>
        <w:jc w:val="center"/>
        <w:rPr>
          <w:b/>
          <w:sz w:val="28"/>
        </w:rPr>
      </w:pPr>
      <w:r>
        <w:rPr>
          <w:b/>
          <w:sz w:val="28"/>
        </w:rPr>
        <w:t xml:space="preserve">Blue Cross and Blue Shield of Minnesota </w:t>
      </w:r>
      <w:r w:rsidR="0071224C">
        <w:rPr>
          <w:b/>
          <w:sz w:val="28"/>
        </w:rPr>
        <w:t xml:space="preserve">Initiative </w:t>
      </w:r>
    </w:p>
    <w:p w14:paraId="52928AB5" w14:textId="0154B8DD" w:rsidR="00921A27" w:rsidRDefault="0071224C" w:rsidP="008B5CBF">
      <w:pPr>
        <w:spacing w:after="0" w:line="240" w:lineRule="auto"/>
        <w:jc w:val="center"/>
        <w:rPr>
          <w:b/>
          <w:sz w:val="28"/>
        </w:rPr>
      </w:pPr>
      <w:r>
        <w:rPr>
          <w:b/>
          <w:sz w:val="28"/>
        </w:rPr>
        <w:t>Aims to Reduce Barriers to</w:t>
      </w:r>
      <w:r w:rsidR="00921A27">
        <w:rPr>
          <w:b/>
          <w:sz w:val="28"/>
        </w:rPr>
        <w:t xml:space="preserve"> Physical Activity </w:t>
      </w:r>
    </w:p>
    <w:p w14:paraId="5AE023D5" w14:textId="77777777" w:rsidR="0071224C" w:rsidRDefault="0071224C" w:rsidP="008B5CBF">
      <w:pPr>
        <w:spacing w:after="0" w:line="240" w:lineRule="auto"/>
        <w:jc w:val="center"/>
        <w:rPr>
          <w:i/>
          <w:sz w:val="24"/>
        </w:rPr>
      </w:pPr>
    </w:p>
    <w:p w14:paraId="63CB99AA" w14:textId="1A64955A" w:rsidR="00606F84" w:rsidRDefault="0071224C" w:rsidP="008B5CBF">
      <w:pPr>
        <w:spacing w:after="0" w:line="240" w:lineRule="auto"/>
        <w:jc w:val="center"/>
        <w:rPr>
          <w:i/>
          <w:sz w:val="24"/>
        </w:rPr>
      </w:pPr>
      <w:r>
        <w:rPr>
          <w:i/>
          <w:sz w:val="24"/>
        </w:rPr>
        <w:t xml:space="preserve">Ten organizations will </w:t>
      </w:r>
      <w:r w:rsidR="00AB4AE8">
        <w:rPr>
          <w:i/>
          <w:sz w:val="24"/>
        </w:rPr>
        <w:t>explore ways to make their</w:t>
      </w:r>
      <w:r>
        <w:rPr>
          <w:i/>
          <w:sz w:val="24"/>
        </w:rPr>
        <w:t xml:space="preserve"> </w:t>
      </w:r>
      <w:r w:rsidR="00606F84">
        <w:rPr>
          <w:i/>
          <w:sz w:val="24"/>
        </w:rPr>
        <w:t>communities</w:t>
      </w:r>
      <w:r>
        <w:rPr>
          <w:i/>
          <w:sz w:val="24"/>
        </w:rPr>
        <w:t xml:space="preserve"> more </w:t>
      </w:r>
      <w:r w:rsidR="00AB4AE8">
        <w:rPr>
          <w:i/>
          <w:sz w:val="24"/>
        </w:rPr>
        <w:t xml:space="preserve">inviting places </w:t>
      </w:r>
    </w:p>
    <w:p w14:paraId="14D2EF32" w14:textId="2E5ADBFC" w:rsidR="0087625D" w:rsidRDefault="00606F84" w:rsidP="008B5CBF">
      <w:pPr>
        <w:spacing w:after="0" w:line="240" w:lineRule="auto"/>
        <w:jc w:val="center"/>
        <w:rPr>
          <w:i/>
          <w:sz w:val="24"/>
        </w:rPr>
      </w:pPr>
      <w:proofErr w:type="gramStart"/>
      <w:r>
        <w:rPr>
          <w:i/>
          <w:sz w:val="24"/>
        </w:rPr>
        <w:t>for</w:t>
      </w:r>
      <w:proofErr w:type="gramEnd"/>
      <w:r>
        <w:rPr>
          <w:i/>
          <w:sz w:val="24"/>
        </w:rPr>
        <w:t xml:space="preserve"> </w:t>
      </w:r>
      <w:r w:rsidR="0071224C">
        <w:rPr>
          <w:i/>
          <w:sz w:val="24"/>
        </w:rPr>
        <w:t>phy</w:t>
      </w:r>
      <w:r w:rsidR="00AB4AE8">
        <w:rPr>
          <w:i/>
          <w:sz w:val="24"/>
        </w:rPr>
        <w:t xml:space="preserve">sical activity, utilizing financial support from the Center for Prevention </w:t>
      </w:r>
    </w:p>
    <w:p w14:paraId="7B2EFBDF" w14:textId="77777777" w:rsidR="0071224C" w:rsidRPr="0087625D" w:rsidRDefault="0071224C" w:rsidP="008B5CBF">
      <w:pPr>
        <w:spacing w:after="0" w:line="240" w:lineRule="auto"/>
        <w:jc w:val="center"/>
        <w:rPr>
          <w:i/>
          <w:sz w:val="24"/>
        </w:rPr>
      </w:pPr>
    </w:p>
    <w:p w14:paraId="54818861" w14:textId="54401951" w:rsidR="00A65D54" w:rsidRDefault="00921A27">
      <w:r w:rsidRPr="00921A27">
        <w:rPr>
          <w:b/>
        </w:rPr>
        <w:t>EAGAN, MINN.</w:t>
      </w:r>
      <w:r>
        <w:rPr>
          <w:b/>
        </w:rPr>
        <w:t xml:space="preserve"> (</w:t>
      </w:r>
      <w:r w:rsidR="0071224C">
        <w:rPr>
          <w:b/>
        </w:rPr>
        <w:t xml:space="preserve">June </w:t>
      </w:r>
      <w:r w:rsidR="00404026">
        <w:rPr>
          <w:b/>
        </w:rPr>
        <w:t>24</w:t>
      </w:r>
      <w:bookmarkStart w:id="0" w:name="_GoBack"/>
      <w:bookmarkEnd w:id="0"/>
      <w:r>
        <w:rPr>
          <w:b/>
        </w:rPr>
        <w:t>, 2015</w:t>
      </w:r>
      <w:r w:rsidRPr="00921A27">
        <w:rPr>
          <w:b/>
        </w:rPr>
        <w:t>)</w:t>
      </w:r>
      <w:r w:rsidRPr="00921A27">
        <w:t xml:space="preserve"> – </w:t>
      </w:r>
      <w:r w:rsidR="000C7C07">
        <w:t>Whether it’s for recreation or transportation, Minnesota’s warmer months inspire many to be more physically active</w:t>
      </w:r>
      <w:r w:rsidR="006B749C">
        <w:t>. Unfortunately, some Minnesota</w:t>
      </w:r>
      <w:r w:rsidR="00AB4AE8">
        <w:t xml:space="preserve"> communities</w:t>
      </w:r>
      <w:r w:rsidR="006B749C">
        <w:t xml:space="preserve"> lack the amenities </w:t>
      </w:r>
      <w:r w:rsidR="00AB4AE8">
        <w:t xml:space="preserve">and infrastructure </w:t>
      </w:r>
      <w:r w:rsidR="006B749C">
        <w:t xml:space="preserve">to </w:t>
      </w:r>
      <w:r w:rsidR="00AB4AE8">
        <w:t>support and encourage</w:t>
      </w:r>
      <w:r w:rsidR="006B749C">
        <w:t xml:space="preserve"> </w:t>
      </w:r>
      <w:r w:rsidR="000C7C07">
        <w:t>walking, biking and other healthy activities</w:t>
      </w:r>
      <w:r w:rsidR="006B749C">
        <w:t xml:space="preserve">. </w:t>
      </w:r>
    </w:p>
    <w:p w14:paraId="0859E083" w14:textId="052FE33B" w:rsidR="00980F86" w:rsidRDefault="006B749C">
      <w:r>
        <w:t xml:space="preserve">In an effort </w:t>
      </w:r>
      <w:r w:rsidR="00427FB3">
        <w:t xml:space="preserve">to </w:t>
      </w:r>
      <w:r w:rsidR="00622694">
        <w:t>make neighborhoods more amenable to walking, biking and other forms of physical activity</w:t>
      </w:r>
      <w:r>
        <w:t xml:space="preserve">, the Center for Prevention at Blue Cross and Blue Shield of Minnesota (Blue Cross) </w:t>
      </w:r>
      <w:r w:rsidR="009C568F">
        <w:t>is</w:t>
      </w:r>
      <w:r w:rsidR="00AB4AE8">
        <w:t xml:space="preserve"> award</w:t>
      </w:r>
      <w:r w:rsidR="009C568F">
        <w:t>ing</w:t>
      </w:r>
      <w:r w:rsidR="00AB4AE8">
        <w:t xml:space="preserve"> funding for 10 demonstration projects</w:t>
      </w:r>
      <w:r w:rsidR="00622694">
        <w:t>.</w:t>
      </w:r>
      <w:r w:rsidR="0079022E">
        <w:t xml:space="preserve"> </w:t>
      </w:r>
      <w:r w:rsidR="00A65D54">
        <w:t xml:space="preserve">These </w:t>
      </w:r>
      <w:r w:rsidR="001B42B8">
        <w:t xml:space="preserve">temporary, low-cost projects </w:t>
      </w:r>
      <w:r w:rsidR="009C568F">
        <w:t xml:space="preserve">will </w:t>
      </w:r>
      <w:r w:rsidR="001B42B8">
        <w:t>help illustrate</w:t>
      </w:r>
      <w:r w:rsidR="009C568F">
        <w:t xml:space="preserve"> how small changes to our surroundings make it easier for people to </w:t>
      </w:r>
      <w:r w:rsidR="001B42B8">
        <w:t xml:space="preserve">be physically active. And, by giving people opportunities to experience their neighborhoods in a new way, </w:t>
      </w:r>
      <w:r w:rsidR="00E719DC">
        <w:t>these projects</w:t>
      </w:r>
      <w:r w:rsidR="001B42B8">
        <w:t xml:space="preserve"> also aim to build support and momentum for more permanent, long-term changes within communities.    </w:t>
      </w:r>
    </w:p>
    <w:p w14:paraId="7B06AAF2" w14:textId="06469F8F" w:rsidR="005E7D7B" w:rsidRDefault="00C42B43">
      <w:r>
        <w:t xml:space="preserve">Active Places </w:t>
      </w:r>
      <w:r w:rsidR="00844CAB">
        <w:t xml:space="preserve">demonstration </w:t>
      </w:r>
      <w:r>
        <w:t xml:space="preserve">projects </w:t>
      </w:r>
      <w:r w:rsidR="00844CAB">
        <w:t>will be taking place throughout the state</w:t>
      </w:r>
      <w:r w:rsidR="001B42B8">
        <w:t xml:space="preserve"> between June and October</w:t>
      </w:r>
      <w:r w:rsidR="00844CAB">
        <w:t xml:space="preserve">. </w:t>
      </w:r>
      <w:r w:rsidR="005E7D7B">
        <w:t xml:space="preserve">The 10 organizations that have been awarded financial and technical assistance </w:t>
      </w:r>
      <w:r w:rsidR="001B42B8">
        <w:t xml:space="preserve">from the Center for Prevention </w:t>
      </w:r>
      <w:r w:rsidR="005E7D7B">
        <w:t xml:space="preserve">include: </w:t>
      </w:r>
    </w:p>
    <w:p w14:paraId="49D9104E" w14:textId="40875978" w:rsidR="00FB00F8" w:rsidRDefault="00FB00F8">
      <w:r w:rsidRPr="00FB00F8">
        <w:rPr>
          <w:b/>
        </w:rPr>
        <w:t>Ventura Village Neighborhood</w:t>
      </w:r>
      <w:r>
        <w:t xml:space="preserve"> </w:t>
      </w:r>
      <w:r w:rsidR="006A5984">
        <w:t xml:space="preserve">will </w:t>
      </w:r>
      <w:r>
        <w:t xml:space="preserve">provide Somali elders and youth </w:t>
      </w:r>
      <w:r w:rsidR="0055110E">
        <w:t>places</w:t>
      </w:r>
      <w:r w:rsidR="00864B43">
        <w:t xml:space="preserve"> to play bocce ball, a sport that has cultural significance, encourages</w:t>
      </w:r>
      <w:r>
        <w:t xml:space="preserve"> physical activity and </w:t>
      </w:r>
      <w:r w:rsidR="0055110E">
        <w:t xml:space="preserve">creates </w:t>
      </w:r>
      <w:r>
        <w:t>intergenerational connection</w:t>
      </w:r>
      <w:r w:rsidR="0055110E">
        <w:t>s</w:t>
      </w:r>
      <w:r>
        <w:t>.</w:t>
      </w:r>
    </w:p>
    <w:p w14:paraId="27536D0F" w14:textId="5A25DFA9" w:rsidR="00FB00F8" w:rsidRDefault="00FB00F8">
      <w:r w:rsidRPr="00EC2092">
        <w:rPr>
          <w:b/>
        </w:rPr>
        <w:t>Milaca Fine Arts Council</w:t>
      </w:r>
      <w:r>
        <w:t xml:space="preserve"> </w:t>
      </w:r>
      <w:r w:rsidR="006A5984">
        <w:t>w</w:t>
      </w:r>
      <w:r w:rsidR="000A6727">
        <w:t>ill</w:t>
      </w:r>
      <w:r w:rsidR="006A5984">
        <w:t xml:space="preserve"> </w:t>
      </w:r>
      <w:r>
        <w:t xml:space="preserve">create </w:t>
      </w:r>
      <w:r w:rsidR="000A6727">
        <w:t xml:space="preserve">a temporary park </w:t>
      </w:r>
      <w:r w:rsidR="0055110E">
        <w:t>where</w:t>
      </w:r>
      <w:r w:rsidR="000A6727">
        <w:t xml:space="preserve"> events and activities </w:t>
      </w:r>
      <w:r w:rsidR="0055110E">
        <w:t xml:space="preserve">will be held </w:t>
      </w:r>
      <w:r w:rsidR="000A6727">
        <w:t xml:space="preserve">in conjunction with the local farmers market. The park will serve </w:t>
      </w:r>
      <w:r w:rsidR="0055110E">
        <w:t>as a place to connect with other community members while also encouraging</w:t>
      </w:r>
      <w:r>
        <w:t xml:space="preserve"> residents to utilize established </w:t>
      </w:r>
      <w:r w:rsidR="00EC2092">
        <w:t>walking routes.</w:t>
      </w:r>
    </w:p>
    <w:p w14:paraId="468BA16E" w14:textId="5E63E8B2" w:rsidR="00EC2092" w:rsidRDefault="00EC2092">
      <w:r w:rsidRPr="00EC2092">
        <w:rPr>
          <w:b/>
        </w:rPr>
        <w:t>Asian Economic Development Association</w:t>
      </w:r>
      <w:r>
        <w:t xml:space="preserve"> </w:t>
      </w:r>
      <w:r w:rsidR="0055110E">
        <w:t xml:space="preserve">will transform an </w:t>
      </w:r>
      <w:r w:rsidRPr="00EC2092">
        <w:t xml:space="preserve">underutilized space into a green and welcoming public </w:t>
      </w:r>
      <w:r w:rsidR="0055110E">
        <w:t>plaza. Temporary</w:t>
      </w:r>
      <w:r w:rsidRPr="00EC2092">
        <w:t xml:space="preserve"> bike lanes and walkways</w:t>
      </w:r>
      <w:r w:rsidR="0055110E">
        <w:t xml:space="preserve"> will also be incorporated</w:t>
      </w:r>
      <w:r w:rsidRPr="00EC2092">
        <w:t xml:space="preserve"> to encourage</w:t>
      </w:r>
      <w:r w:rsidR="0055110E">
        <w:t xml:space="preserve"> </w:t>
      </w:r>
      <w:r w:rsidRPr="00EC2092">
        <w:t>physical activity</w:t>
      </w:r>
      <w:r w:rsidR="0055110E">
        <w:t xml:space="preserve"> within the neighborhood</w:t>
      </w:r>
      <w:r w:rsidRPr="00EC2092">
        <w:t>.</w:t>
      </w:r>
    </w:p>
    <w:p w14:paraId="75BCCFA6" w14:textId="3C87450C" w:rsidR="00EC2092" w:rsidRDefault="00EC2092">
      <w:r>
        <w:rPr>
          <w:b/>
        </w:rPr>
        <w:lastRenderedPageBreak/>
        <w:t xml:space="preserve">Corcoran Neighborhood Organization </w:t>
      </w:r>
      <w:r w:rsidR="0055110E">
        <w:t xml:space="preserve">will </w:t>
      </w:r>
      <w:r w:rsidRPr="00EC2092">
        <w:t xml:space="preserve">encourage community members to reimagine </w:t>
      </w:r>
      <w:r w:rsidR="002F10EC">
        <w:t xml:space="preserve">a </w:t>
      </w:r>
      <w:r>
        <w:t>public</w:t>
      </w:r>
      <w:r w:rsidRPr="00EC2092">
        <w:t xml:space="preserve"> space</w:t>
      </w:r>
      <w:r w:rsidR="002F10EC">
        <w:t xml:space="preserve"> by creating </w:t>
      </w:r>
      <w:r>
        <w:t>a temporary public plaza</w:t>
      </w:r>
      <w:r w:rsidR="002F10EC">
        <w:t>, adjacent to the local light rail transit station</w:t>
      </w:r>
      <w:r>
        <w:t>.</w:t>
      </w:r>
      <w:r w:rsidR="002F10EC">
        <w:t xml:space="preserve"> A farmers market, fitness classes and other programming will inspire physical activity and community connections. </w:t>
      </w:r>
    </w:p>
    <w:p w14:paraId="67771993" w14:textId="79C101C0" w:rsidR="00EC2092" w:rsidRDefault="00EC2092">
      <w:r w:rsidRPr="00EC2092">
        <w:rPr>
          <w:b/>
        </w:rPr>
        <w:t>Lake Street Council</w:t>
      </w:r>
      <w:r>
        <w:t xml:space="preserve"> </w:t>
      </w:r>
      <w:r w:rsidR="00733CE2">
        <w:t xml:space="preserve">will </w:t>
      </w:r>
      <w:r>
        <w:t xml:space="preserve">transform </w:t>
      </w:r>
      <w:r w:rsidR="00441B94">
        <w:t xml:space="preserve">Minneapolis’ </w:t>
      </w:r>
      <w:r>
        <w:t>29</w:t>
      </w:r>
      <w:r w:rsidRPr="00EC2092">
        <w:rPr>
          <w:vertAlign w:val="superscript"/>
        </w:rPr>
        <w:t>th</w:t>
      </w:r>
      <w:r>
        <w:t xml:space="preserve"> Street </w:t>
      </w:r>
      <w:r w:rsidRPr="00EC2092">
        <w:t>into a community gathering space and pedestrian connection between the neighborhood</w:t>
      </w:r>
      <w:r>
        <w:t xml:space="preserve">, the </w:t>
      </w:r>
      <w:r w:rsidR="00733CE2">
        <w:t>M</w:t>
      </w:r>
      <w:r>
        <w:t>idtown greenway and the Lake Street transit and business corridor.</w:t>
      </w:r>
    </w:p>
    <w:p w14:paraId="5F1D096C" w14:textId="3957D63D" w:rsidR="00EC2092" w:rsidRDefault="00EC2092">
      <w:r w:rsidRPr="00EC2092">
        <w:rPr>
          <w:b/>
        </w:rPr>
        <w:t>Minneapolis Heart Institute Foundation</w:t>
      </w:r>
      <w:r>
        <w:t xml:space="preserve"> </w:t>
      </w:r>
      <w:r w:rsidR="00733CE2">
        <w:t xml:space="preserve">will </w:t>
      </w:r>
      <w:r w:rsidRPr="00EC2092">
        <w:t xml:space="preserve">implement a weeklong demonstration </w:t>
      </w:r>
      <w:r w:rsidR="00733CE2">
        <w:t xml:space="preserve">at </w:t>
      </w:r>
      <w:r w:rsidR="00733CE2" w:rsidRPr="00EC2092">
        <w:t>elementary and high school</w:t>
      </w:r>
      <w:r w:rsidR="00733CE2">
        <w:t xml:space="preserve">s in New Ulm. The project aims to show how </w:t>
      </w:r>
      <w:r w:rsidRPr="00EC2092">
        <w:t>improve</w:t>
      </w:r>
      <w:r w:rsidR="00733CE2">
        <w:t>ments to</w:t>
      </w:r>
      <w:r w:rsidRPr="00EC2092">
        <w:t xml:space="preserve"> the school</w:t>
      </w:r>
      <w:r w:rsidR="00733CE2">
        <w:t>’s</w:t>
      </w:r>
      <w:r w:rsidRPr="00EC2092">
        <w:t xml:space="preserve"> arrival and departure areas </w:t>
      </w:r>
      <w:r w:rsidR="00733CE2">
        <w:t>can</w:t>
      </w:r>
      <w:r w:rsidR="00441B94">
        <w:t xml:space="preserve"> </w:t>
      </w:r>
      <w:r w:rsidR="00733CE2">
        <w:t xml:space="preserve">be used to encourage </w:t>
      </w:r>
      <w:r w:rsidR="00441B94">
        <w:t>walking and biking to and from school</w:t>
      </w:r>
      <w:r w:rsidRPr="00EC2092">
        <w:t>.</w:t>
      </w:r>
    </w:p>
    <w:p w14:paraId="77FF5916" w14:textId="469B0CCE" w:rsidR="00EC2092" w:rsidRDefault="00733CE2">
      <w:r>
        <w:rPr>
          <w:b/>
        </w:rPr>
        <w:t xml:space="preserve">The </w:t>
      </w:r>
      <w:r w:rsidR="00EC2092" w:rsidRPr="00EC2092">
        <w:rPr>
          <w:b/>
        </w:rPr>
        <w:t>City of Hopkins</w:t>
      </w:r>
      <w:r w:rsidR="00EC2092">
        <w:t xml:space="preserve"> </w:t>
      </w:r>
      <w:r>
        <w:t xml:space="preserve">will engage community members in testing designs for </w:t>
      </w:r>
      <w:r w:rsidR="00EC2092">
        <w:t xml:space="preserve">The Artery, </w:t>
      </w:r>
      <w:r>
        <w:t xml:space="preserve">a </w:t>
      </w:r>
      <w:r w:rsidR="00EC2092">
        <w:t xml:space="preserve">connection between Hopkins’ planned light rail transit station and </w:t>
      </w:r>
      <w:r>
        <w:t xml:space="preserve">its </w:t>
      </w:r>
      <w:r w:rsidR="00EC2092">
        <w:t>historic downtown.</w:t>
      </w:r>
      <w:r w:rsidR="00441B94">
        <w:t xml:space="preserve"> </w:t>
      </w:r>
      <w:r w:rsidR="00441B94" w:rsidRPr="00441B94">
        <w:t>Elements of the temporary installation include a farmers market and cycle track, along with bikes that will be available to test out the planned “living street.”</w:t>
      </w:r>
    </w:p>
    <w:p w14:paraId="1A098D91" w14:textId="56AA4A2F" w:rsidR="00EC2092" w:rsidRDefault="00EC2092">
      <w:r w:rsidRPr="00EC2092">
        <w:rPr>
          <w:b/>
        </w:rPr>
        <w:t>Healthy Duluth</w:t>
      </w:r>
      <w:r>
        <w:t xml:space="preserve"> </w:t>
      </w:r>
      <w:r w:rsidR="00733CE2">
        <w:t xml:space="preserve">will </w:t>
      </w:r>
      <w:r w:rsidR="00F90B15">
        <w:t xml:space="preserve">use temporary </w:t>
      </w:r>
      <w:proofErr w:type="spellStart"/>
      <w:r w:rsidR="00F90B15">
        <w:t>parklets</w:t>
      </w:r>
      <w:proofErr w:type="spellEnd"/>
      <w:r w:rsidR="00F90B15">
        <w:t xml:space="preserve"> to demonstrate how</w:t>
      </w:r>
      <w:r w:rsidRPr="00EC2092">
        <w:t xml:space="preserve"> outdoor public spaces </w:t>
      </w:r>
      <w:r w:rsidR="00F90B15">
        <w:t>can create</w:t>
      </w:r>
      <w:r w:rsidRPr="00EC2092">
        <w:t xml:space="preserve"> economic benefits </w:t>
      </w:r>
      <w:r w:rsidR="00F90B15">
        <w:t>while also</w:t>
      </w:r>
      <w:r w:rsidRPr="00EC2092">
        <w:t xml:space="preserve"> promoting active lifestyles.</w:t>
      </w:r>
      <w:r w:rsidR="00441B94">
        <w:t xml:space="preserve"> </w:t>
      </w:r>
    </w:p>
    <w:p w14:paraId="7B88AECA" w14:textId="192CF5D9" w:rsidR="00EC2092" w:rsidRDefault="00EC2092">
      <w:r w:rsidRPr="00EC2092">
        <w:rPr>
          <w:b/>
        </w:rPr>
        <w:t>Friendly Streets Initiative</w:t>
      </w:r>
      <w:r>
        <w:t xml:space="preserve"> </w:t>
      </w:r>
      <w:r w:rsidR="00F90B15">
        <w:t>will collaborate with local artist</w:t>
      </w:r>
      <w:r w:rsidR="00E719DC">
        <w:t>s</w:t>
      </w:r>
      <w:r w:rsidR="00F90B15">
        <w:t xml:space="preserve"> to transform eight</w:t>
      </w:r>
      <w:r w:rsidRPr="00EC2092">
        <w:t xml:space="preserve"> bridges</w:t>
      </w:r>
      <w:r>
        <w:t xml:space="preserve"> over I-94</w:t>
      </w:r>
      <w:r w:rsidR="00F90B15">
        <w:t xml:space="preserve">, making them more safe and attractive for walkers and bikers. </w:t>
      </w:r>
    </w:p>
    <w:p w14:paraId="45A687A6" w14:textId="6CE04E23" w:rsidR="00EC2092" w:rsidRDefault="00EC2092">
      <w:r w:rsidRPr="00EC2092">
        <w:rPr>
          <w:b/>
        </w:rPr>
        <w:t xml:space="preserve">City of </w:t>
      </w:r>
      <w:proofErr w:type="spellStart"/>
      <w:r w:rsidRPr="00EC2092">
        <w:rPr>
          <w:b/>
        </w:rPr>
        <w:t>Cloquet</w:t>
      </w:r>
      <w:proofErr w:type="spellEnd"/>
      <w:r>
        <w:t xml:space="preserve"> </w:t>
      </w:r>
      <w:r w:rsidR="00F90B15">
        <w:t>will</w:t>
      </w:r>
      <w:r>
        <w:t xml:space="preserve"> </w:t>
      </w:r>
      <w:r w:rsidR="00F90B15">
        <w:t>introduce</w:t>
      </w:r>
      <w:r w:rsidRPr="00EC2092">
        <w:t xml:space="preserve"> temporary bike lanes and incorporate bump-outs in two separate areas of downtown </w:t>
      </w:r>
      <w:proofErr w:type="spellStart"/>
      <w:r w:rsidRPr="00EC2092">
        <w:t>Cloquet</w:t>
      </w:r>
      <w:proofErr w:type="spellEnd"/>
      <w:r w:rsidR="00F90B15">
        <w:t>. The goal is for</w:t>
      </w:r>
      <w:r>
        <w:t xml:space="preserve"> </w:t>
      </w:r>
      <w:r w:rsidRPr="00EC2092">
        <w:t xml:space="preserve">these temporary changes </w:t>
      </w:r>
      <w:r w:rsidR="00E719DC">
        <w:t xml:space="preserve">to </w:t>
      </w:r>
      <w:r w:rsidR="00F90B15">
        <w:t xml:space="preserve">inspire more permanent infrastructure improvements within the community. </w:t>
      </w:r>
    </w:p>
    <w:p w14:paraId="20AEC658" w14:textId="6998DC81" w:rsidR="00C321D2" w:rsidRDefault="00C321D2" w:rsidP="00C321D2">
      <w:r>
        <w:t>“</w:t>
      </w:r>
      <w:r w:rsidR="009404C6">
        <w:t>Our surroundings have a significant impact on our health and wellbeing, including our opportunities to be physically active,” s</w:t>
      </w:r>
      <w:r>
        <w:t>aid Janelle Waldock, director of the Center for Prevention. “</w:t>
      </w:r>
      <w:r w:rsidR="009404C6">
        <w:t xml:space="preserve">Blue Cross is proud </w:t>
      </w:r>
      <w:r w:rsidR="00E719DC">
        <w:t xml:space="preserve">to </w:t>
      </w:r>
      <w:r w:rsidR="009404C6">
        <w:t xml:space="preserve">support organizations throughout Minnesota that share our commitment to creating spaces where people feel safe and inspired to be active. We hope our funding enables them </w:t>
      </w:r>
      <w:r w:rsidR="00E719DC">
        <w:t xml:space="preserve">to </w:t>
      </w:r>
      <w:r w:rsidR="009404C6">
        <w:t>gain the public support needed to drive more long-term, permanent community change.”</w:t>
      </w:r>
    </w:p>
    <w:p w14:paraId="6BFBEC0B" w14:textId="522845CF" w:rsidR="00C321D2" w:rsidRPr="00EC2092" w:rsidRDefault="00C321D2">
      <w:r>
        <w:t>Active Places demonstration project</w:t>
      </w:r>
      <w:r w:rsidR="00910849">
        <w:t>s</w:t>
      </w:r>
      <w:r>
        <w:t xml:space="preserve"> </w:t>
      </w:r>
      <w:r w:rsidRPr="00C321D2">
        <w:t>were selected through a competitive process</w:t>
      </w:r>
      <w:r w:rsidR="00910849">
        <w:t xml:space="preserve">. Preference was given to organizations </w:t>
      </w:r>
      <w:r w:rsidR="00F90B15">
        <w:t>that expressed a commitment</w:t>
      </w:r>
      <w:r w:rsidR="00E719DC">
        <w:t xml:space="preserve"> to </w:t>
      </w:r>
      <w:r w:rsidR="00A42DC9">
        <w:t xml:space="preserve">community engagement and </w:t>
      </w:r>
      <w:r w:rsidR="00E719DC">
        <w:t>that</w:t>
      </w:r>
      <w:r w:rsidR="00A42DC9">
        <w:t xml:space="preserve"> focused on creating opportunities for those who commonly face barriers to physical activity. </w:t>
      </w:r>
    </w:p>
    <w:p w14:paraId="3A9B462D" w14:textId="77777777" w:rsidR="00921A27" w:rsidRPr="00921A27" w:rsidRDefault="00921A27" w:rsidP="00921A27">
      <w:pPr>
        <w:rPr>
          <w:b/>
        </w:rPr>
      </w:pPr>
      <w:r w:rsidRPr="00921A27">
        <w:rPr>
          <w:b/>
        </w:rPr>
        <w:t>About the Center for Prevention</w:t>
      </w:r>
    </w:p>
    <w:p w14:paraId="71E000A4" w14:textId="77777777" w:rsidR="00921A27" w:rsidRDefault="00921A27" w:rsidP="00921A27">
      <w:r>
        <w:t>The Center for Prevention at Blue Cross and Blue Shield of Minnesota delivers on Blue Cross’ long-term commitment to improve the health of all Minnesotans by tackling the leading root causes of preventable disease: tobacco use, lack of physical activity and unhealthy eating. Funded through proceeds from Blue Cross’ historic lawsuit against the tobacco industry, we collaborate with organizations statewide to increase health equity, transform communities and create a healthier state. Visit CenterforPreventionMN.com for more information.</w:t>
      </w:r>
    </w:p>
    <w:p w14:paraId="39857AAE" w14:textId="77777777" w:rsidR="00921A27" w:rsidRPr="00921A27" w:rsidRDefault="00921A27" w:rsidP="00921A27">
      <w:pPr>
        <w:rPr>
          <w:b/>
        </w:rPr>
      </w:pPr>
      <w:r w:rsidRPr="00921A27">
        <w:rPr>
          <w:b/>
        </w:rPr>
        <w:t>About Blue Cross and Blue Shield of Minnesota</w:t>
      </w:r>
    </w:p>
    <w:p w14:paraId="50C03CA7" w14:textId="77777777" w:rsidR="00427FB3" w:rsidRDefault="00921A27" w:rsidP="00921A27">
      <w:r>
        <w:t xml:space="preserve">Blue Cross and Blue Shield of Minnesota (bluecrossmn.com), with headquarters in the St. Paul suburb of Eagan, was chartered in 1933 as Minnesota’s first health plan and continues to carry out its charter </w:t>
      </w:r>
      <w:r>
        <w:lastRenderedPageBreak/>
        <w:t>mission today as a health company: to promote a wider, more economical and timely availability of health services for the people of Minnesota. Blue Cross is a not-for-profit, taxable organization. Blue Cross and Blue Shield of Minnesota is an independent licensee of the Blue Cross and Blue Shield Association, headquartered in Chicago.</w:t>
      </w:r>
    </w:p>
    <w:p w14:paraId="79E3AB88" w14:textId="77777777" w:rsidR="007B2461" w:rsidRDefault="007B2461" w:rsidP="007B2461">
      <w:pPr>
        <w:jc w:val="center"/>
      </w:pPr>
      <w:r>
        <w:t>###</w:t>
      </w:r>
    </w:p>
    <w:p w14:paraId="2E386A95" w14:textId="77777777" w:rsidR="00427FB3" w:rsidRDefault="00427FB3" w:rsidP="00427FB3"/>
    <w:p w14:paraId="455D9871" w14:textId="77777777" w:rsidR="00427FB3" w:rsidRDefault="00427FB3" w:rsidP="00427FB3"/>
    <w:p w14:paraId="32ADF760" w14:textId="77777777" w:rsidR="00427FB3" w:rsidRDefault="00427FB3"/>
    <w:p w14:paraId="56F7ECEC" w14:textId="77777777" w:rsidR="0079022E" w:rsidRDefault="0079022E"/>
    <w:sectPr w:rsidR="00790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60"/>
    <w:rsid w:val="000A6727"/>
    <w:rsid w:val="000C7C07"/>
    <w:rsid w:val="001B42B8"/>
    <w:rsid w:val="002F10EC"/>
    <w:rsid w:val="003F6921"/>
    <w:rsid w:val="00404026"/>
    <w:rsid w:val="00427FB3"/>
    <w:rsid w:val="00441B94"/>
    <w:rsid w:val="004E4C60"/>
    <w:rsid w:val="005336AF"/>
    <w:rsid w:val="0055110E"/>
    <w:rsid w:val="005E7D7B"/>
    <w:rsid w:val="00606F84"/>
    <w:rsid w:val="00622694"/>
    <w:rsid w:val="0063710C"/>
    <w:rsid w:val="006A5984"/>
    <w:rsid w:val="006B749C"/>
    <w:rsid w:val="0071224C"/>
    <w:rsid w:val="00733CE2"/>
    <w:rsid w:val="0079022E"/>
    <w:rsid w:val="007B2461"/>
    <w:rsid w:val="007D0C78"/>
    <w:rsid w:val="00817997"/>
    <w:rsid w:val="00844CAB"/>
    <w:rsid w:val="00864B43"/>
    <w:rsid w:val="0087625D"/>
    <w:rsid w:val="008B5CBF"/>
    <w:rsid w:val="00910849"/>
    <w:rsid w:val="00921A27"/>
    <w:rsid w:val="009404C6"/>
    <w:rsid w:val="009632D4"/>
    <w:rsid w:val="00980F86"/>
    <w:rsid w:val="009C568F"/>
    <w:rsid w:val="00A42DC9"/>
    <w:rsid w:val="00A65D54"/>
    <w:rsid w:val="00AB4AE8"/>
    <w:rsid w:val="00BE45B7"/>
    <w:rsid w:val="00C321D2"/>
    <w:rsid w:val="00C42B43"/>
    <w:rsid w:val="00DF4500"/>
    <w:rsid w:val="00E33926"/>
    <w:rsid w:val="00E47A33"/>
    <w:rsid w:val="00E719DC"/>
    <w:rsid w:val="00EB6163"/>
    <w:rsid w:val="00EC2092"/>
    <w:rsid w:val="00F90B15"/>
    <w:rsid w:val="00FB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6BDA"/>
  <w15:chartTrackingRefBased/>
  <w15:docId w15:val="{CC5B0872-7288-4E84-93FA-EEC8761E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21A27"/>
    <w:rPr>
      <w:rFonts w:cs="Times New Roman"/>
      <w:color w:val="0000FF"/>
      <w:u w:val="single"/>
    </w:rPr>
  </w:style>
  <w:style w:type="paragraph" w:styleId="BalloonText">
    <w:name w:val="Balloon Text"/>
    <w:basedOn w:val="Normal"/>
    <w:link w:val="BalloonTextChar"/>
    <w:uiPriority w:val="99"/>
    <w:semiHidden/>
    <w:unhideWhenUsed/>
    <w:rsid w:val="00BE4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5B7"/>
    <w:rPr>
      <w:rFonts w:ascii="Segoe UI" w:hAnsi="Segoe UI" w:cs="Segoe UI"/>
      <w:sz w:val="18"/>
      <w:szCs w:val="18"/>
    </w:rPr>
  </w:style>
  <w:style w:type="paragraph" w:styleId="Revision">
    <w:name w:val="Revision"/>
    <w:hidden/>
    <w:uiPriority w:val="99"/>
    <w:semiHidden/>
    <w:rsid w:val="009632D4"/>
    <w:pPr>
      <w:spacing w:after="0" w:line="240" w:lineRule="auto"/>
    </w:pPr>
  </w:style>
  <w:style w:type="character" w:styleId="CommentReference">
    <w:name w:val="annotation reference"/>
    <w:basedOn w:val="DefaultParagraphFont"/>
    <w:uiPriority w:val="99"/>
    <w:semiHidden/>
    <w:unhideWhenUsed/>
    <w:rsid w:val="0055110E"/>
    <w:rPr>
      <w:sz w:val="16"/>
      <w:szCs w:val="16"/>
    </w:rPr>
  </w:style>
  <w:style w:type="paragraph" w:styleId="CommentText">
    <w:name w:val="annotation text"/>
    <w:basedOn w:val="Normal"/>
    <w:link w:val="CommentTextChar"/>
    <w:uiPriority w:val="99"/>
    <w:semiHidden/>
    <w:unhideWhenUsed/>
    <w:rsid w:val="0055110E"/>
    <w:pPr>
      <w:spacing w:line="240" w:lineRule="auto"/>
    </w:pPr>
    <w:rPr>
      <w:sz w:val="20"/>
      <w:szCs w:val="20"/>
    </w:rPr>
  </w:style>
  <w:style w:type="character" w:customStyle="1" w:styleId="CommentTextChar">
    <w:name w:val="Comment Text Char"/>
    <w:basedOn w:val="DefaultParagraphFont"/>
    <w:link w:val="CommentText"/>
    <w:uiPriority w:val="99"/>
    <w:semiHidden/>
    <w:rsid w:val="0055110E"/>
    <w:rPr>
      <w:sz w:val="20"/>
      <w:szCs w:val="20"/>
    </w:rPr>
  </w:style>
  <w:style w:type="paragraph" w:styleId="CommentSubject">
    <w:name w:val="annotation subject"/>
    <w:basedOn w:val="CommentText"/>
    <w:next w:val="CommentText"/>
    <w:link w:val="CommentSubjectChar"/>
    <w:uiPriority w:val="99"/>
    <w:semiHidden/>
    <w:unhideWhenUsed/>
    <w:rsid w:val="0055110E"/>
    <w:rPr>
      <w:b/>
      <w:bCs/>
    </w:rPr>
  </w:style>
  <w:style w:type="character" w:customStyle="1" w:styleId="CommentSubjectChar">
    <w:name w:val="Comment Subject Char"/>
    <w:basedOn w:val="CommentTextChar"/>
    <w:link w:val="CommentSubject"/>
    <w:uiPriority w:val="99"/>
    <w:semiHidden/>
    <w:rsid w:val="00551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y.schultz@bluecrossm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ty.schultz@bluecrossm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9306-68AC-49FF-85B9-D7B54FAA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Kathryn</dc:creator>
  <cp:keywords/>
  <dc:description/>
  <cp:lastModifiedBy>Schultz, Katy</cp:lastModifiedBy>
  <cp:revision>2</cp:revision>
  <cp:lastPrinted>2015-06-23T13:38:00Z</cp:lastPrinted>
  <dcterms:created xsi:type="dcterms:W3CDTF">2015-06-24T15:15:00Z</dcterms:created>
  <dcterms:modified xsi:type="dcterms:W3CDTF">2015-06-24T15:15:00Z</dcterms:modified>
</cp:coreProperties>
</file>