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88" w:rsidRPr="00A76107" w:rsidRDefault="0004701D" w:rsidP="004F3B67">
      <w:pPr>
        <w:jc w:val="center"/>
        <w:rPr>
          <w:b/>
        </w:rPr>
      </w:pPr>
      <w:r w:rsidRPr="00A76107">
        <w:rPr>
          <w:b/>
        </w:rPr>
        <w:t xml:space="preserve">How </w:t>
      </w:r>
      <w:r w:rsidR="00A76107" w:rsidRPr="00A76107">
        <w:rPr>
          <w:b/>
        </w:rPr>
        <w:t xml:space="preserve">To Keep </w:t>
      </w:r>
      <w:r w:rsidRPr="00A76107">
        <w:rPr>
          <w:b/>
        </w:rPr>
        <w:t xml:space="preserve">RTE </w:t>
      </w:r>
      <w:r w:rsidR="00A76107" w:rsidRPr="00A76107">
        <w:rPr>
          <w:b/>
        </w:rPr>
        <w:t>Foods Safe With High Pressure Process (</w:t>
      </w:r>
      <w:r w:rsidRPr="00A76107">
        <w:rPr>
          <w:b/>
        </w:rPr>
        <w:t>HPP</w:t>
      </w:r>
      <w:r w:rsidR="00A76107" w:rsidRPr="00A76107">
        <w:rPr>
          <w:b/>
        </w:rPr>
        <w:t>) Validation</w:t>
      </w:r>
    </w:p>
    <w:p w:rsidR="00FB5531" w:rsidRDefault="00FB5531" w:rsidP="004F3B67"/>
    <w:p w:rsidR="009E6607" w:rsidRDefault="00A76107" w:rsidP="004F3B67">
      <w:pPr>
        <w:jc w:val="center"/>
      </w:pPr>
      <w:r>
        <w:t>By Tatiana Koutchma, PhD</w:t>
      </w:r>
    </w:p>
    <w:p w:rsidR="009E1D5D" w:rsidRDefault="009E1D5D" w:rsidP="004F3B67">
      <w:pPr>
        <w:jc w:val="center"/>
      </w:pPr>
    </w:p>
    <w:p w:rsidR="009E1D5D" w:rsidRDefault="009E1D5D" w:rsidP="004F3B67">
      <w:pPr>
        <w:ind w:left="720"/>
        <w:jc w:val="center"/>
      </w:pPr>
      <w:r>
        <w:rPr>
          <w:noProof/>
          <w:color w:val="0000FF"/>
          <w:lang w:val="en-CA" w:eastAsia="en-CA"/>
        </w:rPr>
        <w:drawing>
          <wp:inline distT="0" distB="0" distL="0" distR="0" wp14:anchorId="64DF6707" wp14:editId="69805128">
            <wp:extent cx="1442720" cy="1780141"/>
            <wp:effectExtent l="0" t="0" r="5080" b="0"/>
            <wp:docPr id="1" name="Picture 1" descr="http://www.inspection.gc.ca/DAM/DAM-aboutcfia-sujetacia/STAGING/images-images/news_resource_food_safety_beef_interactive_sampling_1374554271439_eng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inspection.gc.ca/DAM/DAM-aboutcfia-sujetacia/STAGING/images-images/news_resource_food_safety_beef_interactive_sampling_1374554271439_eng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86"/>
                    <a:stretch/>
                  </pic:blipFill>
                  <pic:spPr bwMode="auto">
                    <a:xfrm>
                      <a:off x="0" y="0"/>
                      <a:ext cx="1444460" cy="178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4447" w:rsidRDefault="00954447" w:rsidP="004F3B67"/>
    <w:p w:rsidR="002A4C98" w:rsidRDefault="00FC0CC1" w:rsidP="004F3B67">
      <w:r>
        <w:t>Process v</w:t>
      </w:r>
      <w:r w:rsidRPr="00FC0CC1">
        <w:t xml:space="preserve">alidation </w:t>
      </w:r>
      <w:r>
        <w:t xml:space="preserve">and </w:t>
      </w:r>
      <w:r w:rsidRPr="00FC0CC1">
        <w:t xml:space="preserve">verification </w:t>
      </w:r>
      <w:r w:rsidR="003315C6">
        <w:t>are major</w:t>
      </w:r>
      <w:r w:rsidRPr="00FC0CC1">
        <w:t xml:space="preserve"> requirement</w:t>
      </w:r>
      <w:r>
        <w:t>s</w:t>
      </w:r>
      <w:r w:rsidRPr="00FC0CC1">
        <w:t xml:space="preserve"> of </w:t>
      </w:r>
      <w:r>
        <w:t xml:space="preserve">the </w:t>
      </w:r>
      <w:r w:rsidRPr="00FC0CC1">
        <w:t>F</w:t>
      </w:r>
      <w:r>
        <w:t xml:space="preserve">ood </w:t>
      </w:r>
      <w:r w:rsidRPr="00FC0CC1">
        <w:t>S</w:t>
      </w:r>
      <w:r>
        <w:t xml:space="preserve">afety </w:t>
      </w:r>
      <w:r w:rsidRPr="00FC0CC1">
        <w:t>M</w:t>
      </w:r>
      <w:r>
        <w:t xml:space="preserve">odernization </w:t>
      </w:r>
      <w:r w:rsidRPr="00FC0CC1">
        <w:t>A</w:t>
      </w:r>
      <w:r>
        <w:t>ct</w:t>
      </w:r>
      <w:r w:rsidR="00B85ED0">
        <w:t xml:space="preserve"> (FSMA).  According to </w:t>
      </w:r>
      <w:r w:rsidR="009F7475">
        <w:t>FS</w:t>
      </w:r>
      <w:r w:rsidR="00B85ED0">
        <w:t>M</w:t>
      </w:r>
      <w:r w:rsidR="009F7475">
        <w:t>A</w:t>
      </w:r>
      <w:r w:rsidR="00B85ED0">
        <w:t xml:space="preserve"> </w:t>
      </w:r>
      <w:r w:rsidR="00B85ED0" w:rsidRPr="00B85ED0">
        <w:t xml:space="preserve">validation of </w:t>
      </w:r>
      <w:r w:rsidR="006518FA">
        <w:t>high pressure process (</w:t>
      </w:r>
      <w:r w:rsidR="00B85ED0" w:rsidRPr="00B85ED0">
        <w:t>HPP</w:t>
      </w:r>
      <w:r w:rsidR="006518FA">
        <w:t>)</w:t>
      </w:r>
      <w:r w:rsidR="009F7475">
        <w:t xml:space="preserve"> </w:t>
      </w:r>
      <w:r w:rsidR="00B85ED0" w:rsidRPr="00B85ED0">
        <w:t>used as a kill-step is required in order to make sure that the HPP treatment is at a level of effectiveness to ensure food safety</w:t>
      </w:r>
      <w:r w:rsidR="006518FA">
        <w:t xml:space="preserve"> objective</w:t>
      </w:r>
      <w:r w:rsidR="00B85ED0" w:rsidRPr="00B85ED0">
        <w:t>.</w:t>
      </w:r>
      <w:r w:rsidR="0075078D">
        <w:t xml:space="preserve"> </w:t>
      </w:r>
      <w:r w:rsidR="0075078D" w:rsidRPr="0075078D">
        <w:t>The hazard analysis mandated by FSMA regulations serves to identify the pathogens of significance for a specific food and its specific process or control measure.</w:t>
      </w:r>
      <w:r w:rsidR="0075078D">
        <w:t xml:space="preserve"> </w:t>
      </w:r>
      <w:r w:rsidR="009956F0">
        <w:t xml:space="preserve"> </w:t>
      </w:r>
    </w:p>
    <w:p w:rsidR="002A4C98" w:rsidRDefault="002A4C98" w:rsidP="004F3B67"/>
    <w:p w:rsidR="002A4C98" w:rsidRDefault="00B85ED0" w:rsidP="004F3B67">
      <w:pPr>
        <w:rPr>
          <w:bCs/>
        </w:rPr>
      </w:pPr>
      <w:r>
        <w:t>In the case of RTE foods, USDA/FSIS specified the regulatory requireme</w:t>
      </w:r>
      <w:r w:rsidR="00104B27">
        <w:t>nts</w:t>
      </w:r>
      <w:r>
        <w:t xml:space="preserve"> in 9 CFR 430.4  “</w:t>
      </w:r>
      <w:r w:rsidRPr="00B85ED0">
        <w:t xml:space="preserve">Control of </w:t>
      </w:r>
      <w:r w:rsidRPr="00B85ED0">
        <w:rPr>
          <w:i/>
          <w:iCs/>
        </w:rPr>
        <w:t>Listeria monocytogenes</w:t>
      </w:r>
      <w:r w:rsidR="00156E38">
        <w:rPr>
          <w:i/>
          <w:iCs/>
        </w:rPr>
        <w:t xml:space="preserve"> </w:t>
      </w:r>
      <w:r w:rsidR="00156E38" w:rsidRPr="00156E38">
        <w:rPr>
          <w:iCs/>
        </w:rPr>
        <w:t>(Lm)</w:t>
      </w:r>
      <w:r w:rsidRPr="00B85ED0">
        <w:rPr>
          <w:i/>
          <w:iCs/>
        </w:rPr>
        <w:t xml:space="preserve"> </w:t>
      </w:r>
      <w:r w:rsidRPr="00B85ED0">
        <w:t xml:space="preserve">in Post-Lethality Exposed Ready-To-Eat Products </w:t>
      </w:r>
      <w:r w:rsidR="003C3F4C">
        <w:t xml:space="preserve"> (RTE)</w:t>
      </w:r>
      <w:r>
        <w:t xml:space="preserve">“. </w:t>
      </w:r>
      <w:r w:rsidR="00156E38">
        <w:t xml:space="preserve"> </w:t>
      </w:r>
      <w:r w:rsidR="006518FA" w:rsidRPr="004271CF">
        <w:rPr>
          <w:bCs/>
        </w:rPr>
        <w:t xml:space="preserve">The examples of RTE products included deli products, hotdog products, whole hams, sausages, meat salads, and other products that have been treated with a lethality step. </w:t>
      </w:r>
      <w:r w:rsidR="006518FA">
        <w:rPr>
          <w:bCs/>
        </w:rPr>
        <w:t xml:space="preserve"> </w:t>
      </w:r>
      <w:r w:rsidR="00156E38" w:rsidRPr="00156E38">
        <w:t xml:space="preserve">RTE products are of particular concern for contamination with </w:t>
      </w:r>
      <w:r w:rsidR="00156E38" w:rsidRPr="00156E38">
        <w:rPr>
          <w:i/>
          <w:iCs/>
        </w:rPr>
        <w:t xml:space="preserve">Lm </w:t>
      </w:r>
      <w:r w:rsidR="00156E38" w:rsidRPr="00156E38">
        <w:t>because they may support the growth of the patho</w:t>
      </w:r>
      <w:r w:rsidR="003C3F4C">
        <w:t xml:space="preserve">gen during refrigerated storage and can be </w:t>
      </w:r>
      <w:r w:rsidR="00156E38" w:rsidRPr="00156E38">
        <w:t>often c</w:t>
      </w:r>
      <w:r w:rsidR="003C3F4C">
        <w:t xml:space="preserve">onsumed without further cooking. </w:t>
      </w:r>
      <w:r w:rsidR="003552F3">
        <w:t xml:space="preserve"> Because the Lm</w:t>
      </w:r>
      <w:r w:rsidR="003552F3" w:rsidRPr="003552F3">
        <w:t xml:space="preserve"> infectious dose is thought to be low </w:t>
      </w:r>
      <w:r w:rsidR="003552F3">
        <w:rPr>
          <w:bCs/>
        </w:rPr>
        <w:t xml:space="preserve">FSIS has </w:t>
      </w:r>
      <w:r w:rsidR="003552F3" w:rsidRPr="003552F3">
        <w:rPr>
          <w:bCs/>
        </w:rPr>
        <w:t xml:space="preserve">maintained a “zero tolerance” for the pathogen in RTE products. </w:t>
      </w:r>
    </w:p>
    <w:p w:rsidR="006518FA" w:rsidRDefault="006518FA" w:rsidP="004F3B67">
      <w:pPr>
        <w:rPr>
          <w:bCs/>
        </w:rPr>
      </w:pPr>
    </w:p>
    <w:p w:rsidR="002A4C98" w:rsidRDefault="006518FA" w:rsidP="004F3B67">
      <w:proofErr w:type="gramStart"/>
      <w:r>
        <w:rPr>
          <w:bCs/>
        </w:rPr>
        <w:t xml:space="preserve">HPP </w:t>
      </w:r>
      <w:r w:rsidR="00B76B19">
        <w:rPr>
          <w:bCs/>
        </w:rPr>
        <w:t xml:space="preserve"> is</w:t>
      </w:r>
      <w:proofErr w:type="gramEnd"/>
      <w:r w:rsidR="00B76B19">
        <w:rPr>
          <w:bCs/>
        </w:rPr>
        <w:t xml:space="preserve"> recommended by FSI</w:t>
      </w:r>
      <w:r w:rsidR="002A4C98">
        <w:rPr>
          <w:bCs/>
        </w:rPr>
        <w:t xml:space="preserve">S as a post-lethality treatment for </w:t>
      </w:r>
      <w:proofErr w:type="spellStart"/>
      <w:r w:rsidR="002A4C98">
        <w:rPr>
          <w:bCs/>
        </w:rPr>
        <w:t>RTEs.</w:t>
      </w:r>
      <w:proofErr w:type="spellEnd"/>
      <w:r w:rsidR="00B76B19">
        <w:rPr>
          <w:bCs/>
        </w:rPr>
        <w:t xml:space="preserve"> </w:t>
      </w:r>
      <w:r w:rsidR="002A4C98">
        <w:t xml:space="preserve">A </w:t>
      </w:r>
      <w:r w:rsidR="002A4C98" w:rsidRPr="00FB5531">
        <w:t xml:space="preserve">scientifically sound validation process </w:t>
      </w:r>
      <w:r w:rsidR="002A4C98">
        <w:t>is a</w:t>
      </w:r>
      <w:r w:rsidR="002A4C98" w:rsidRPr="00FB5531">
        <w:t xml:space="preserve"> critical component</w:t>
      </w:r>
      <w:r w:rsidR="002A4C98">
        <w:t xml:space="preserve"> in assessing the efficacy of HPP as a </w:t>
      </w:r>
      <w:r w:rsidR="002A4C98" w:rsidRPr="00FB5531">
        <w:t xml:space="preserve">microbial control measure. </w:t>
      </w:r>
    </w:p>
    <w:p w:rsidR="002A4C98" w:rsidRDefault="002A4C98" w:rsidP="004F3B67"/>
    <w:p w:rsidR="002A4C98" w:rsidRDefault="002A4C98" w:rsidP="004F3B67">
      <w:r w:rsidRPr="00A76107">
        <w:t xml:space="preserve">Validation is defined as </w:t>
      </w:r>
      <w:r>
        <w:t>documented</w:t>
      </w:r>
      <w:r w:rsidRPr="00A76107">
        <w:t xml:space="preserve"> evidence that a control measure or combination of control measures, if properly implemented, it’s capable of controlling the hazard to a specified outcome. </w:t>
      </w:r>
      <w:r>
        <w:t>V</w:t>
      </w:r>
      <w:r w:rsidRPr="00A76107">
        <w:t xml:space="preserve">alidation </w:t>
      </w:r>
      <w:r>
        <w:t>is intended to</w:t>
      </w:r>
      <w:r w:rsidR="006518FA">
        <w:t xml:space="preserve"> answer the following questions:</w:t>
      </w:r>
      <w:r>
        <w:t xml:space="preserve"> A</w:t>
      </w:r>
      <w:r w:rsidRPr="00A76107">
        <w:t>re process parameters the right ones? Will they work</w:t>
      </w:r>
      <w:r>
        <w:t xml:space="preserve"> and deliver the intended effect</w:t>
      </w:r>
      <w:r w:rsidRPr="00A76107">
        <w:t xml:space="preserve">? </w:t>
      </w:r>
      <w:r w:rsidRPr="00FB5531">
        <w:t xml:space="preserve">Following </w:t>
      </w:r>
      <w:r>
        <w:t xml:space="preserve">the HPP </w:t>
      </w:r>
      <w:r w:rsidRPr="00FB5531">
        <w:t xml:space="preserve">validation of microbial </w:t>
      </w:r>
      <w:r>
        <w:t>efficacy</w:t>
      </w:r>
      <w:r w:rsidRPr="00FB5531">
        <w:t>, verification and monitoring procedures must be implemented to assure that the control measure is operating as intended.</w:t>
      </w:r>
    </w:p>
    <w:p w:rsidR="002A4C98" w:rsidRDefault="002A4C98" w:rsidP="004F3B67"/>
    <w:p w:rsidR="002A4C98" w:rsidRDefault="002A4C98" w:rsidP="004F3B67">
      <w:r>
        <w:lastRenderedPageBreak/>
        <w:t xml:space="preserve">Verification is defined as </w:t>
      </w:r>
      <w:r w:rsidRPr="00954447">
        <w:t>application of methods, procedures</w:t>
      </w:r>
      <w:r>
        <w:t xml:space="preserve">, tests, and other evaluations </w:t>
      </w:r>
      <w:r w:rsidRPr="00954447">
        <w:t xml:space="preserve">to determine whether a control measure is or has been operating as intended. </w:t>
      </w:r>
    </w:p>
    <w:p w:rsidR="002A4C98" w:rsidRPr="00954447" w:rsidRDefault="002A4C98" w:rsidP="004F3B67"/>
    <w:p w:rsidR="002A4C98" w:rsidRDefault="002A4C98" w:rsidP="004F3B67">
      <w:r>
        <w:t>Monitoring is t</w:t>
      </w:r>
      <w:r w:rsidRPr="00954447">
        <w:t>he act of conducting a planned sequence of observations and/or measurements of control parameters to assess whether a control measure is under control</w:t>
      </w:r>
      <w:r>
        <w:t xml:space="preserve">. </w:t>
      </w:r>
    </w:p>
    <w:p w:rsidR="00575E6F" w:rsidRDefault="00575E6F" w:rsidP="004F3B67"/>
    <w:p w:rsidR="00575E6F" w:rsidRPr="00575E6F" w:rsidRDefault="00575E6F" w:rsidP="004F3B67">
      <w:r w:rsidRPr="00575E6F">
        <w:t>The objective of HPP process validation is to demonstrate that the critical limits of HPP process established for the given product are capable of providing the necessary microbial lethality.</w:t>
      </w:r>
      <w:r>
        <w:t xml:space="preserve"> </w:t>
      </w:r>
      <w:r w:rsidRPr="000B1418">
        <w:t xml:space="preserve">In the case of </w:t>
      </w:r>
      <w:r>
        <w:t xml:space="preserve">establishment of </w:t>
      </w:r>
      <w:r w:rsidRPr="000B1418">
        <w:t>HPP</w:t>
      </w:r>
      <w:r>
        <w:t xml:space="preserve"> treatment for RTEs, this means that </w:t>
      </w:r>
      <w:r w:rsidRPr="000B1418">
        <w:t xml:space="preserve">a specific pressure </w:t>
      </w:r>
      <w:r>
        <w:t xml:space="preserve">(typically 600 MPa) </w:t>
      </w:r>
      <w:r w:rsidRPr="000B1418">
        <w:t xml:space="preserve">and hold time </w:t>
      </w:r>
      <w:r>
        <w:t xml:space="preserve">(3 to 5 min) </w:t>
      </w:r>
      <w:r w:rsidRPr="000B1418">
        <w:t>can be tied to a specific level of reduction of vegetative cells of pathogenic organisms.</w:t>
      </w:r>
      <w:r w:rsidRPr="00575E6F">
        <w:t xml:space="preserve"> The </w:t>
      </w:r>
      <w:r>
        <w:t>post-lethality treatment as HPP</w:t>
      </w:r>
      <w:r w:rsidRPr="00575E6F">
        <w:t xml:space="preserve"> must be validated according to 9 CFR 417.4 and 430.4 as being effective in eliminating or reducing </w:t>
      </w:r>
      <w:r w:rsidRPr="00575E6F">
        <w:rPr>
          <w:i/>
          <w:iCs/>
        </w:rPr>
        <w:t>Lm</w:t>
      </w:r>
      <w:r w:rsidRPr="00575E6F">
        <w:t>.</w:t>
      </w:r>
    </w:p>
    <w:p w:rsidR="002A4C98" w:rsidRDefault="002A4C98" w:rsidP="004F3B67">
      <w:pPr>
        <w:rPr>
          <w:bCs/>
        </w:rPr>
      </w:pPr>
    </w:p>
    <w:p w:rsidR="00954447" w:rsidRDefault="00E13309" w:rsidP="004F3B67">
      <w:pPr>
        <w:rPr>
          <w:bCs/>
        </w:rPr>
      </w:pPr>
      <w:r>
        <w:rPr>
          <w:bCs/>
        </w:rPr>
        <w:t>According to FSIS, i</w:t>
      </w:r>
      <w:r w:rsidR="00B76B19" w:rsidRPr="00B76B19">
        <w:rPr>
          <w:bCs/>
        </w:rPr>
        <w:t xml:space="preserve">f the </w:t>
      </w:r>
      <w:r w:rsidR="00B76B19">
        <w:rPr>
          <w:bCs/>
        </w:rPr>
        <w:t xml:space="preserve">HPP </w:t>
      </w:r>
      <w:r w:rsidR="00B76B19" w:rsidRPr="00B76B19">
        <w:rPr>
          <w:bCs/>
        </w:rPr>
        <w:t xml:space="preserve">is validated to achieve at least a 5-log reduction of </w:t>
      </w:r>
      <w:r w:rsidR="00B76B19" w:rsidRPr="00B76B19">
        <w:rPr>
          <w:bCs/>
          <w:i/>
          <w:iCs/>
        </w:rPr>
        <w:t xml:space="preserve">Lm </w:t>
      </w:r>
      <w:r w:rsidR="00B76B19" w:rsidRPr="00B76B19">
        <w:rPr>
          <w:bCs/>
        </w:rPr>
        <w:t xml:space="preserve">and other pathogens of concern (e.g., </w:t>
      </w:r>
      <w:r w:rsidR="00B76B19" w:rsidRPr="00B76B19">
        <w:rPr>
          <w:bCs/>
          <w:i/>
          <w:iCs/>
        </w:rPr>
        <w:t xml:space="preserve">E. coli </w:t>
      </w:r>
      <w:r w:rsidR="00B76B19" w:rsidRPr="00B76B19">
        <w:rPr>
          <w:bCs/>
        </w:rPr>
        <w:t xml:space="preserve">O157:H7 and </w:t>
      </w:r>
      <w:r w:rsidR="00B76B19" w:rsidRPr="00B76B19">
        <w:rPr>
          <w:bCs/>
          <w:i/>
          <w:iCs/>
        </w:rPr>
        <w:t>Salmonella</w:t>
      </w:r>
      <w:r w:rsidR="00B76B19" w:rsidRPr="00B76B19">
        <w:rPr>
          <w:bCs/>
        </w:rPr>
        <w:t>), the process would be considered to achieve full lethali</w:t>
      </w:r>
      <w:r w:rsidR="006518FA">
        <w:rPr>
          <w:bCs/>
        </w:rPr>
        <w:t xml:space="preserve">ty and the product would not be </w:t>
      </w:r>
      <w:r w:rsidR="00B76B19" w:rsidRPr="00B76B19">
        <w:rPr>
          <w:bCs/>
        </w:rPr>
        <w:t>considered to be post-lethality exposed.</w:t>
      </w:r>
      <w:r w:rsidR="009C0395">
        <w:rPr>
          <w:bCs/>
        </w:rPr>
        <w:t xml:space="preserve"> </w:t>
      </w:r>
      <w:r w:rsidR="00021031">
        <w:rPr>
          <w:bCs/>
        </w:rPr>
        <w:t>Otherwise, t</w:t>
      </w:r>
      <w:r w:rsidR="006518FA">
        <w:rPr>
          <w:bCs/>
        </w:rPr>
        <w:t xml:space="preserve">he validation should </w:t>
      </w:r>
      <w:r w:rsidR="009C0395" w:rsidRPr="009C0395">
        <w:rPr>
          <w:bCs/>
        </w:rPr>
        <w:t xml:space="preserve">demonstrate at least a 1-log reduction of </w:t>
      </w:r>
      <w:r w:rsidR="009C0395" w:rsidRPr="009C0395">
        <w:rPr>
          <w:bCs/>
          <w:i/>
          <w:iCs/>
        </w:rPr>
        <w:t xml:space="preserve">Lm </w:t>
      </w:r>
      <w:r w:rsidR="009C0395" w:rsidRPr="009C0395">
        <w:rPr>
          <w:bCs/>
        </w:rPr>
        <w:t>before the pr</w:t>
      </w:r>
      <w:r w:rsidR="00842E03">
        <w:rPr>
          <w:bCs/>
        </w:rPr>
        <w:t xml:space="preserve">oduct leaves the establishment </w:t>
      </w:r>
      <w:r w:rsidR="009C0395" w:rsidRPr="009C0395">
        <w:rPr>
          <w:bCs/>
        </w:rPr>
        <w:t xml:space="preserve">unless the </w:t>
      </w:r>
      <w:r w:rsidR="009C0395">
        <w:rPr>
          <w:bCs/>
        </w:rPr>
        <w:t xml:space="preserve">post lethality treatment </w:t>
      </w:r>
      <w:r w:rsidR="009C0395" w:rsidRPr="009C0395">
        <w:rPr>
          <w:bCs/>
        </w:rPr>
        <w:t>is being used to treat contaminated product.</w:t>
      </w:r>
    </w:p>
    <w:p w:rsidR="003C3F4C" w:rsidRPr="003552F3" w:rsidRDefault="003C3F4C" w:rsidP="004F3B67"/>
    <w:p w:rsidR="00341290" w:rsidRDefault="00341290" w:rsidP="004F3B67">
      <w:r w:rsidRPr="000B1418">
        <w:t xml:space="preserve">Specified “critical processing parameters” for HPP treatment of foods by the regulatory agencies include the following: </w:t>
      </w:r>
    </w:p>
    <w:p w:rsidR="009E6607" w:rsidRDefault="009E6607" w:rsidP="004F3B67">
      <w:pPr>
        <w:rPr>
          <w:b/>
        </w:rPr>
      </w:pPr>
    </w:p>
    <w:p w:rsidR="009E6607" w:rsidRPr="009E6607" w:rsidRDefault="009E6607" w:rsidP="004F3B67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E6607">
        <w:rPr>
          <w:color w:val="000000" w:themeColor="text1"/>
        </w:rPr>
        <w:t xml:space="preserve">Target process pressure </w:t>
      </w:r>
    </w:p>
    <w:p w:rsidR="009E6607" w:rsidRPr="009E6607" w:rsidRDefault="009E6607" w:rsidP="004F3B67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E6607">
        <w:rPr>
          <w:color w:val="000000" w:themeColor="text1"/>
        </w:rPr>
        <w:t xml:space="preserve">Time at target pressure </w:t>
      </w:r>
    </w:p>
    <w:p w:rsidR="009E6607" w:rsidRPr="009E6607" w:rsidRDefault="009E6607" w:rsidP="004F3B67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E6607">
        <w:rPr>
          <w:color w:val="000000" w:themeColor="text1"/>
        </w:rPr>
        <w:t>Time to achieve target pressure or come up time (CUT)</w:t>
      </w:r>
    </w:p>
    <w:p w:rsidR="009E6607" w:rsidRPr="009E6607" w:rsidRDefault="009E6607" w:rsidP="004F3B67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E6607">
        <w:rPr>
          <w:color w:val="000000" w:themeColor="text1"/>
        </w:rPr>
        <w:t xml:space="preserve">Decompression time or come down time (CDT) </w:t>
      </w:r>
    </w:p>
    <w:p w:rsidR="009E6607" w:rsidRPr="009E6607" w:rsidRDefault="009E6607" w:rsidP="004F3B67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E6607">
        <w:rPr>
          <w:color w:val="000000" w:themeColor="text1"/>
        </w:rPr>
        <w:t xml:space="preserve">Initial temperature of the product </w:t>
      </w:r>
    </w:p>
    <w:p w:rsidR="009E6607" w:rsidRPr="009E6607" w:rsidRDefault="009E6607" w:rsidP="004F3B67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E6607">
        <w:rPr>
          <w:color w:val="000000" w:themeColor="text1"/>
        </w:rPr>
        <w:t>Initial temperature of the pressurization fluid</w:t>
      </w:r>
    </w:p>
    <w:p w:rsidR="009E6607" w:rsidRPr="009E6607" w:rsidRDefault="009E6607" w:rsidP="004F3B67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9E6607">
        <w:rPr>
          <w:color w:val="000000" w:themeColor="text1"/>
        </w:rPr>
        <w:t>Product pH</w:t>
      </w:r>
    </w:p>
    <w:p w:rsidR="009E6607" w:rsidRPr="00287F8B" w:rsidRDefault="009E6607" w:rsidP="004F3B67">
      <w:pPr>
        <w:pStyle w:val="ListParagraph"/>
        <w:numPr>
          <w:ilvl w:val="0"/>
          <w:numId w:val="3"/>
        </w:numPr>
        <w:rPr>
          <w:strike/>
          <w:color w:val="000000" w:themeColor="text1"/>
        </w:rPr>
      </w:pPr>
      <w:r w:rsidRPr="009E6607">
        <w:rPr>
          <w:color w:val="000000" w:themeColor="text1"/>
        </w:rPr>
        <w:t xml:space="preserve">Product water activity </w:t>
      </w:r>
    </w:p>
    <w:p w:rsidR="00287F8B" w:rsidRDefault="00287F8B" w:rsidP="004F3B67">
      <w:pPr>
        <w:rPr>
          <w:strike/>
          <w:color w:val="000000" w:themeColor="text1"/>
        </w:rPr>
      </w:pPr>
    </w:p>
    <w:p w:rsidR="00575E6F" w:rsidRDefault="00287F8B" w:rsidP="004F3B67">
      <w:pPr>
        <w:widowControl w:val="0"/>
        <w:autoSpaceDE w:val="0"/>
        <w:autoSpaceDN w:val="0"/>
        <w:adjustRightInd w:val="0"/>
        <w:rPr>
          <w:color w:val="000000"/>
        </w:rPr>
      </w:pPr>
      <w:r w:rsidRPr="00A95C62">
        <w:rPr>
          <w:color w:val="000000"/>
          <w:lang w:val="en-CA"/>
        </w:rPr>
        <w:t>The effect</w:t>
      </w:r>
      <w:r>
        <w:rPr>
          <w:color w:val="000000"/>
          <w:lang w:val="en-CA"/>
        </w:rPr>
        <w:t>s</w:t>
      </w:r>
      <w:r w:rsidRPr="00A95C62">
        <w:rPr>
          <w:color w:val="000000"/>
          <w:lang w:val="en-CA"/>
        </w:rPr>
        <w:t xml:space="preserve"> of HPP process parameters </w:t>
      </w:r>
      <w:r w:rsidR="0069669C">
        <w:rPr>
          <w:color w:val="000000"/>
          <w:lang w:val="en-CA"/>
        </w:rPr>
        <w:t xml:space="preserve">on process lethality </w:t>
      </w:r>
      <w:r w:rsidRPr="00A95C62">
        <w:rPr>
          <w:color w:val="000000"/>
          <w:lang w:val="en-CA"/>
        </w:rPr>
        <w:t xml:space="preserve">as reported in literature </w:t>
      </w:r>
      <w:r w:rsidR="0069669C">
        <w:rPr>
          <w:color w:val="000000"/>
          <w:lang w:val="en-CA"/>
        </w:rPr>
        <w:t>are summarized in Table</w:t>
      </w:r>
      <w:r w:rsidR="00575E6F">
        <w:rPr>
          <w:color w:val="000000"/>
          <w:lang w:val="en-CA"/>
        </w:rPr>
        <w:t xml:space="preserve">. </w:t>
      </w:r>
      <w:r w:rsidR="00B54207" w:rsidRPr="00B54207">
        <w:rPr>
          <w:color w:val="000000"/>
        </w:rPr>
        <w:t>Any change in these parameters following validation may require revalidation.</w:t>
      </w:r>
    </w:p>
    <w:p w:rsidR="004F3B67" w:rsidRDefault="004F3B67" w:rsidP="004F3B67">
      <w:pPr>
        <w:rPr>
          <w:color w:val="000000" w:themeColor="text1"/>
        </w:rPr>
      </w:pPr>
    </w:p>
    <w:p w:rsidR="004F3B67" w:rsidRDefault="004F3B67" w:rsidP="004F3B67">
      <w:pPr>
        <w:rPr>
          <w:color w:val="000000" w:themeColor="text1"/>
        </w:rPr>
      </w:pPr>
      <w:r w:rsidRPr="008B23BA">
        <w:rPr>
          <w:color w:val="000000" w:themeColor="text1"/>
        </w:rPr>
        <w:t>When validating lethal treatments, the product formulation and the treatment parameters within the typical range that are most likely to result in survival should be used</w:t>
      </w:r>
      <w:r>
        <w:rPr>
          <w:color w:val="000000" w:themeColor="text1"/>
        </w:rPr>
        <w:t xml:space="preserve">.  HPP </w:t>
      </w:r>
      <w:r w:rsidRPr="001C585F">
        <w:rPr>
          <w:color w:val="000000" w:themeColor="text1"/>
        </w:rPr>
        <w:t xml:space="preserve">process </w:t>
      </w:r>
      <w:r>
        <w:rPr>
          <w:color w:val="000000" w:themeColor="text1"/>
        </w:rPr>
        <w:t xml:space="preserve">has to be defined </w:t>
      </w:r>
      <w:r w:rsidRPr="001C585F">
        <w:rPr>
          <w:color w:val="000000" w:themeColor="text1"/>
        </w:rPr>
        <w:t xml:space="preserve">for every type of </w:t>
      </w:r>
      <w:proofErr w:type="gramStart"/>
      <w:r>
        <w:rPr>
          <w:color w:val="000000" w:themeColor="text1"/>
        </w:rPr>
        <w:t xml:space="preserve">product </w:t>
      </w:r>
      <w:r w:rsidRPr="001C585F">
        <w:rPr>
          <w:color w:val="000000" w:themeColor="text1"/>
        </w:rPr>
        <w:t xml:space="preserve"> treated</w:t>
      </w:r>
      <w:proofErr w:type="gramEnd"/>
      <w:r w:rsidRPr="001C585F">
        <w:rPr>
          <w:color w:val="000000" w:themeColor="text1"/>
        </w:rPr>
        <w:t xml:space="preserve">. Given the variety and combinations of critical operational parameters, establishments may evaluate factors such as pH, water activity, composition, and preservatives to </w:t>
      </w:r>
      <w:r w:rsidRPr="001C585F">
        <w:rPr>
          <w:color w:val="000000" w:themeColor="text1"/>
        </w:rPr>
        <w:lastRenderedPageBreak/>
        <w:t>determine if these are critical factors for a specific food.</w:t>
      </w:r>
      <w:r>
        <w:rPr>
          <w:color w:val="000000" w:themeColor="text1"/>
        </w:rPr>
        <w:t xml:space="preserve"> </w:t>
      </w:r>
      <w:r w:rsidRPr="001C585F">
        <w:rPr>
          <w:color w:val="000000" w:themeColor="text1"/>
        </w:rPr>
        <w:t xml:space="preserve">For example, it should be considered that lower water activity can protect </w:t>
      </w:r>
      <w:r w:rsidRPr="001C585F">
        <w:rPr>
          <w:i/>
          <w:color w:val="000000" w:themeColor="text1"/>
        </w:rPr>
        <w:t xml:space="preserve">L. monocytogenes </w:t>
      </w:r>
      <w:r w:rsidRPr="001C585F">
        <w:rPr>
          <w:color w:val="000000" w:themeColor="text1"/>
        </w:rPr>
        <w:t>against HPP.</w:t>
      </w:r>
    </w:p>
    <w:p w:rsidR="00B54207" w:rsidRPr="004F3B67" w:rsidRDefault="00B54207" w:rsidP="004F3B67">
      <w:pPr>
        <w:widowControl w:val="0"/>
        <w:autoSpaceDE w:val="0"/>
        <w:autoSpaceDN w:val="0"/>
        <w:adjustRightInd w:val="0"/>
        <w:rPr>
          <w:color w:val="000000"/>
        </w:rPr>
      </w:pPr>
    </w:p>
    <w:p w:rsidR="00287F8B" w:rsidRDefault="00287F8B" w:rsidP="004F3B67">
      <w:pPr>
        <w:widowControl w:val="0"/>
        <w:autoSpaceDE w:val="0"/>
        <w:autoSpaceDN w:val="0"/>
        <w:adjustRightInd w:val="0"/>
        <w:rPr>
          <w:color w:val="000000"/>
          <w:lang w:val="en-CA"/>
        </w:rPr>
      </w:pPr>
      <w:r w:rsidRPr="00A95C62">
        <w:rPr>
          <w:color w:val="000000"/>
          <w:lang w:val="en-CA"/>
        </w:rPr>
        <w:t xml:space="preserve">Summary of effects of process parameters on </w:t>
      </w:r>
      <w:r w:rsidR="00575E6F">
        <w:rPr>
          <w:color w:val="000000"/>
          <w:lang w:val="en-CA"/>
        </w:rPr>
        <w:t xml:space="preserve">microbial </w:t>
      </w:r>
      <w:r w:rsidR="0069669C">
        <w:rPr>
          <w:color w:val="000000"/>
          <w:lang w:val="en-CA"/>
        </w:rPr>
        <w:t xml:space="preserve">efficacy of </w:t>
      </w:r>
      <w:r w:rsidRPr="00A95C62">
        <w:rPr>
          <w:color w:val="000000"/>
          <w:lang w:val="en-CA"/>
        </w:rPr>
        <w:t xml:space="preserve">HPP  </w:t>
      </w:r>
    </w:p>
    <w:p w:rsidR="004F3B67" w:rsidRPr="0069669C" w:rsidRDefault="004F3B67" w:rsidP="004F3B67">
      <w:pPr>
        <w:widowControl w:val="0"/>
        <w:autoSpaceDE w:val="0"/>
        <w:autoSpaceDN w:val="0"/>
        <w:adjustRightInd w:val="0"/>
        <w:rPr>
          <w:color w:val="000000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4"/>
        <w:gridCol w:w="1108"/>
        <w:gridCol w:w="1608"/>
        <w:gridCol w:w="2248"/>
        <w:gridCol w:w="2008"/>
      </w:tblGrid>
      <w:tr w:rsidR="00287F8B" w:rsidRPr="007D4D06" w:rsidTr="0069669C">
        <w:tc>
          <w:tcPr>
            <w:tcW w:w="0" w:type="auto"/>
            <w:shd w:val="clear" w:color="auto" w:fill="auto"/>
          </w:tcPr>
          <w:p w:rsidR="00287F8B" w:rsidRPr="007D4D06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D4D06">
              <w:rPr>
                <w:color w:val="000000"/>
              </w:rPr>
              <w:t>HPP process parameter</w:t>
            </w:r>
          </w:p>
        </w:tc>
        <w:tc>
          <w:tcPr>
            <w:tcW w:w="1108" w:type="dxa"/>
            <w:shd w:val="clear" w:color="auto" w:fill="auto"/>
          </w:tcPr>
          <w:p w:rsidR="00287F8B" w:rsidRPr="007D4D06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D4D06">
              <w:rPr>
                <w:color w:val="000000"/>
              </w:rPr>
              <w:t>Range</w:t>
            </w:r>
          </w:p>
          <w:p w:rsidR="0069669C" w:rsidRPr="007D4D06" w:rsidRDefault="0069669C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9669C" w:rsidRPr="007D4D06" w:rsidRDefault="0069669C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D4D06">
              <w:rPr>
                <w:color w:val="000000"/>
              </w:rPr>
              <w:t>in min</w:t>
            </w:r>
          </w:p>
        </w:tc>
        <w:tc>
          <w:tcPr>
            <w:tcW w:w="1608" w:type="dxa"/>
            <w:shd w:val="clear" w:color="auto" w:fill="auto"/>
          </w:tcPr>
          <w:p w:rsidR="00287F8B" w:rsidRPr="007D4D06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D4D06">
              <w:rPr>
                <w:color w:val="000000"/>
              </w:rPr>
              <w:t>Effect on Lethality Reported</w:t>
            </w:r>
          </w:p>
        </w:tc>
        <w:tc>
          <w:tcPr>
            <w:tcW w:w="0" w:type="auto"/>
            <w:shd w:val="clear" w:color="auto" w:fill="auto"/>
          </w:tcPr>
          <w:p w:rsidR="00287F8B" w:rsidRPr="007D4D06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D4D06">
              <w:rPr>
                <w:color w:val="000000"/>
              </w:rPr>
              <w:t>Facility to Control Parameter in Processing</w:t>
            </w:r>
          </w:p>
        </w:tc>
        <w:tc>
          <w:tcPr>
            <w:tcW w:w="0" w:type="auto"/>
            <w:shd w:val="clear" w:color="auto" w:fill="auto"/>
          </w:tcPr>
          <w:p w:rsidR="00287F8B" w:rsidRPr="007D4D06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D4D06">
              <w:rPr>
                <w:color w:val="000000"/>
              </w:rPr>
              <w:t>Research Performed</w:t>
            </w:r>
          </w:p>
          <w:p w:rsidR="00287F8B" w:rsidRPr="007D4D06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87F8B" w:rsidRPr="00A95C62" w:rsidTr="0069669C">
        <w:tc>
          <w:tcPr>
            <w:tcW w:w="0" w:type="auto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 xml:space="preserve">Come Up time, </w:t>
            </w:r>
          </w:p>
          <w:p w:rsidR="00287F8B" w:rsidRPr="00A95C62" w:rsidRDefault="0069669C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Come Down time</w:t>
            </w:r>
          </w:p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Holding time,</w:t>
            </w:r>
          </w:p>
        </w:tc>
        <w:tc>
          <w:tcPr>
            <w:tcW w:w="1108" w:type="dxa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2-3</w:t>
            </w:r>
          </w:p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0.3 – 0.4</w:t>
            </w:r>
          </w:p>
          <w:p w:rsidR="0069669C" w:rsidRDefault="0069669C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3-5</w:t>
            </w:r>
          </w:p>
        </w:tc>
        <w:tc>
          <w:tcPr>
            <w:tcW w:w="1608" w:type="dxa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Yes</w:t>
            </w:r>
          </w:p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Yes</w:t>
            </w:r>
          </w:p>
          <w:p w:rsidR="0069669C" w:rsidRDefault="0069669C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No</w:t>
            </w:r>
          </w:p>
          <w:p w:rsidR="0069669C" w:rsidRDefault="0069669C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Limited</w:t>
            </w:r>
          </w:p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Yes</w:t>
            </w:r>
          </w:p>
        </w:tc>
      </w:tr>
      <w:tr w:rsidR="00287F8B" w:rsidRPr="00A95C62" w:rsidTr="0069669C">
        <w:tc>
          <w:tcPr>
            <w:tcW w:w="0" w:type="auto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Process time</w:t>
            </w:r>
          </w:p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CUT+HT+CD, min</w:t>
            </w:r>
          </w:p>
        </w:tc>
        <w:tc>
          <w:tcPr>
            <w:tcW w:w="1108" w:type="dxa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5 and  &gt;</w:t>
            </w:r>
          </w:p>
        </w:tc>
        <w:tc>
          <w:tcPr>
            <w:tcW w:w="1608" w:type="dxa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Yes</w:t>
            </w:r>
          </w:p>
        </w:tc>
      </w:tr>
      <w:tr w:rsidR="00287F8B" w:rsidRPr="00A95C62" w:rsidTr="0069669C">
        <w:tc>
          <w:tcPr>
            <w:tcW w:w="0" w:type="auto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Process pressure, MPa</w:t>
            </w:r>
          </w:p>
        </w:tc>
        <w:tc>
          <w:tcPr>
            <w:tcW w:w="1108" w:type="dxa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400-600</w:t>
            </w:r>
          </w:p>
        </w:tc>
        <w:tc>
          <w:tcPr>
            <w:tcW w:w="1608" w:type="dxa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Yes and No</w:t>
            </w:r>
          </w:p>
        </w:tc>
        <w:tc>
          <w:tcPr>
            <w:tcW w:w="0" w:type="auto"/>
            <w:shd w:val="clear" w:color="auto" w:fill="auto"/>
          </w:tcPr>
          <w:p w:rsidR="00287F8B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Yes</w:t>
            </w:r>
          </w:p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87F8B" w:rsidRPr="00A95C62" w:rsidTr="0069669C">
        <w:tc>
          <w:tcPr>
            <w:tcW w:w="0" w:type="auto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 xml:space="preserve">Initial temperature, </w:t>
            </w:r>
            <w:proofErr w:type="spellStart"/>
            <w:r w:rsidRPr="00A95C62">
              <w:rPr>
                <w:color w:val="000000"/>
                <w:vertAlign w:val="superscript"/>
              </w:rPr>
              <w:t>o</w:t>
            </w:r>
            <w:r w:rsidRPr="00A95C62">
              <w:rPr>
                <w:color w:val="000000"/>
              </w:rPr>
              <w:t>C</w:t>
            </w:r>
            <w:proofErr w:type="spellEnd"/>
          </w:p>
        </w:tc>
        <w:tc>
          <w:tcPr>
            <w:tcW w:w="1108" w:type="dxa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4-20</w:t>
            </w:r>
          </w:p>
        </w:tc>
        <w:tc>
          <w:tcPr>
            <w:tcW w:w="1608" w:type="dxa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Reports of initial temperature</w:t>
            </w:r>
          </w:p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Pr="00A95C62">
              <w:rPr>
                <w:color w:val="000000"/>
              </w:rPr>
              <w:t>o effect</w:t>
            </w:r>
          </w:p>
        </w:tc>
      </w:tr>
      <w:tr w:rsidR="00287F8B" w:rsidRPr="00A95C62" w:rsidTr="0069669C">
        <w:tc>
          <w:tcPr>
            <w:tcW w:w="0" w:type="auto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 xml:space="preserve">Process temperature, </w:t>
            </w:r>
            <w:proofErr w:type="spellStart"/>
            <w:r w:rsidRPr="00A95C62">
              <w:rPr>
                <w:color w:val="000000"/>
                <w:vertAlign w:val="superscript"/>
              </w:rPr>
              <w:t>o</w:t>
            </w:r>
            <w:r w:rsidRPr="00A95C62">
              <w:rPr>
                <w:color w:val="000000"/>
              </w:rPr>
              <w:t>C</w:t>
            </w:r>
            <w:proofErr w:type="spellEnd"/>
          </w:p>
        </w:tc>
        <w:tc>
          <w:tcPr>
            <w:tcW w:w="1108" w:type="dxa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20-50</w:t>
            </w:r>
          </w:p>
        </w:tc>
        <w:tc>
          <w:tcPr>
            <w:tcW w:w="1608" w:type="dxa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A95C62">
              <w:rPr>
                <w:color w:val="000000"/>
              </w:rPr>
              <w:t>vailable</w:t>
            </w:r>
          </w:p>
        </w:tc>
      </w:tr>
      <w:tr w:rsidR="00287F8B" w:rsidRPr="00A95C62" w:rsidTr="0069669C">
        <w:tc>
          <w:tcPr>
            <w:tcW w:w="0" w:type="auto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 xml:space="preserve">Product temperature, </w:t>
            </w:r>
            <w:proofErr w:type="spellStart"/>
            <w:r w:rsidRPr="00A95C62">
              <w:rPr>
                <w:color w:val="000000"/>
                <w:vertAlign w:val="superscript"/>
              </w:rPr>
              <w:t>o</w:t>
            </w:r>
            <w:r w:rsidRPr="00A95C62">
              <w:rPr>
                <w:color w:val="000000"/>
              </w:rPr>
              <w:t>C</w:t>
            </w:r>
            <w:proofErr w:type="spellEnd"/>
          </w:p>
        </w:tc>
        <w:tc>
          <w:tcPr>
            <w:tcW w:w="1108" w:type="dxa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4 -30</w:t>
            </w:r>
          </w:p>
        </w:tc>
        <w:tc>
          <w:tcPr>
            <w:tcW w:w="1608" w:type="dxa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:rsidR="00287F8B" w:rsidRPr="00A95C62" w:rsidRDefault="00287F8B" w:rsidP="004F3B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95C62">
              <w:rPr>
                <w:color w:val="000000"/>
              </w:rPr>
              <w:t>No</w:t>
            </w:r>
          </w:p>
        </w:tc>
      </w:tr>
    </w:tbl>
    <w:p w:rsidR="00287F8B" w:rsidRPr="00287F8B" w:rsidRDefault="00287F8B" w:rsidP="004F3B67">
      <w:pPr>
        <w:rPr>
          <w:strike/>
          <w:color w:val="000000" w:themeColor="text1"/>
        </w:rPr>
      </w:pPr>
    </w:p>
    <w:p w:rsidR="008B23BA" w:rsidRDefault="008B23BA" w:rsidP="004F3B67">
      <w:pPr>
        <w:rPr>
          <w:color w:val="000000" w:themeColor="text1"/>
        </w:rPr>
      </w:pPr>
    </w:p>
    <w:p w:rsidR="00631A17" w:rsidRDefault="00631A17" w:rsidP="004F3B67">
      <w:pPr>
        <w:rPr>
          <w:color w:val="000000" w:themeColor="text1"/>
        </w:rPr>
      </w:pPr>
      <w:r w:rsidRPr="00631A17">
        <w:rPr>
          <w:color w:val="000000" w:themeColor="text1"/>
        </w:rPr>
        <w:t>Once validation criteria are established, the approach to demonstrate that the control measure is capable to deliver the desired outcome must be selected</w:t>
      </w:r>
      <w:r>
        <w:rPr>
          <w:color w:val="000000" w:themeColor="text1"/>
        </w:rPr>
        <w:t xml:space="preserve">. This includes </w:t>
      </w:r>
    </w:p>
    <w:p w:rsidR="00631A17" w:rsidRPr="00631A17" w:rsidRDefault="00631A17" w:rsidP="004F3B67">
      <w:pPr>
        <w:rPr>
          <w:color w:val="000000" w:themeColor="text1"/>
        </w:rPr>
      </w:pPr>
    </w:p>
    <w:p w:rsidR="00631A17" w:rsidRDefault="00631A17" w:rsidP="004F3B67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631A17">
        <w:rPr>
          <w:color w:val="000000" w:themeColor="text1"/>
        </w:rPr>
        <w:t>Reference</w:t>
      </w:r>
      <w:r>
        <w:rPr>
          <w:color w:val="000000" w:themeColor="text1"/>
        </w:rPr>
        <w:t>s</w:t>
      </w:r>
      <w:r w:rsidRPr="00631A17">
        <w:rPr>
          <w:color w:val="000000" w:themeColor="text1"/>
        </w:rPr>
        <w:t xml:space="preserve"> to scientific or technical literature, previous validation </w:t>
      </w:r>
      <w:r w:rsidR="00835D5A">
        <w:rPr>
          <w:color w:val="000000" w:themeColor="text1"/>
        </w:rPr>
        <w:t xml:space="preserve">studies or historical knowledge. </w:t>
      </w:r>
      <w:r w:rsidR="00835D5A" w:rsidRPr="00835D5A">
        <w:rPr>
          <w:color w:val="000000" w:themeColor="text1"/>
        </w:rPr>
        <w:t xml:space="preserve">Published research may be used as a reference for validation provided the critical parameters used in the study (e.g., product type or size, </w:t>
      </w:r>
      <w:r w:rsidR="00FE0308">
        <w:rPr>
          <w:color w:val="000000" w:themeColor="text1"/>
        </w:rPr>
        <w:t xml:space="preserve">product parameters including pH, water activity, and composition, </w:t>
      </w:r>
      <w:r w:rsidR="00835D5A" w:rsidRPr="00835D5A">
        <w:rPr>
          <w:color w:val="000000" w:themeColor="text1"/>
        </w:rPr>
        <w:t>the type of equipment, time, temperature, pressure and other variables) match the product or process used by the establishment.</w:t>
      </w:r>
    </w:p>
    <w:p w:rsidR="00835D5A" w:rsidRPr="00835D5A" w:rsidRDefault="00835D5A" w:rsidP="004F3B67">
      <w:pPr>
        <w:rPr>
          <w:color w:val="000000" w:themeColor="text1"/>
        </w:rPr>
      </w:pPr>
    </w:p>
    <w:p w:rsidR="00FE0308" w:rsidRDefault="00631A17" w:rsidP="004F3B67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631A17">
        <w:rPr>
          <w:color w:val="000000" w:themeColor="text1"/>
        </w:rPr>
        <w:t>Scientifically valid experimental d</w:t>
      </w:r>
      <w:r w:rsidR="0005128F">
        <w:rPr>
          <w:color w:val="000000" w:themeColor="text1"/>
        </w:rPr>
        <w:t xml:space="preserve">ata that demonstrate adequacy </w:t>
      </w:r>
      <w:r w:rsidR="00BD586F">
        <w:rPr>
          <w:color w:val="000000" w:themeColor="text1"/>
        </w:rPr>
        <w:t xml:space="preserve">or </w:t>
      </w:r>
      <w:r w:rsidRPr="0005128F">
        <w:rPr>
          <w:color w:val="000000" w:themeColor="text1"/>
        </w:rPr>
        <w:t>Mi</w:t>
      </w:r>
      <w:r w:rsidR="00E8318D">
        <w:rPr>
          <w:color w:val="000000" w:themeColor="text1"/>
        </w:rPr>
        <w:t xml:space="preserve">crobiological Challenge Testing. </w:t>
      </w:r>
      <w:r w:rsidR="00C1536B">
        <w:rPr>
          <w:color w:val="000000" w:themeColor="text1"/>
        </w:rPr>
        <w:t xml:space="preserve">The guidance on </w:t>
      </w:r>
      <w:r w:rsidR="00237D2B" w:rsidRPr="00237D2B">
        <w:rPr>
          <w:color w:val="000000" w:themeColor="text1"/>
        </w:rPr>
        <w:t xml:space="preserve">experimental design for challenge test studies </w:t>
      </w:r>
      <w:r w:rsidR="00237D2B" w:rsidRPr="00C1536B">
        <w:rPr>
          <w:color w:val="000000" w:themeColor="text1"/>
        </w:rPr>
        <w:t xml:space="preserve">on how to assess the efficacy of lethality treatments for </w:t>
      </w:r>
      <w:r w:rsidR="00237D2B" w:rsidRPr="00C1536B">
        <w:rPr>
          <w:i/>
          <w:iCs/>
          <w:color w:val="000000" w:themeColor="text1"/>
        </w:rPr>
        <w:t>L. monocytogenes</w:t>
      </w:r>
      <w:r w:rsidR="00237D2B" w:rsidRPr="00C1536B">
        <w:rPr>
          <w:color w:val="000000" w:themeColor="text1"/>
        </w:rPr>
        <w:t xml:space="preserve"> in RTE foods</w:t>
      </w:r>
      <w:r w:rsidR="00C1536B">
        <w:rPr>
          <w:color w:val="000000" w:themeColor="text1"/>
        </w:rPr>
        <w:t xml:space="preserve"> is recommended by Health Canada</w:t>
      </w:r>
      <w:r w:rsidR="00FE0308">
        <w:rPr>
          <w:color w:val="000000" w:themeColor="text1"/>
        </w:rPr>
        <w:t xml:space="preserve"> and available on the website</w:t>
      </w:r>
      <w:r w:rsidR="00237D2B" w:rsidRPr="00C1536B">
        <w:rPr>
          <w:color w:val="000000" w:themeColor="text1"/>
        </w:rPr>
        <w:t>.</w:t>
      </w:r>
    </w:p>
    <w:p w:rsidR="00FE0308" w:rsidRPr="00FE0308" w:rsidRDefault="00FE0308" w:rsidP="004F3B67">
      <w:pPr>
        <w:rPr>
          <w:color w:val="000000" w:themeColor="text1"/>
        </w:rPr>
      </w:pPr>
    </w:p>
    <w:p w:rsidR="00FE0308" w:rsidRDefault="00FE0308" w:rsidP="004F3B67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FE0308">
        <w:rPr>
          <w:color w:val="000000" w:themeColor="text1"/>
        </w:rPr>
        <w:t xml:space="preserve">Collection of data during operating conditions </w:t>
      </w:r>
    </w:p>
    <w:p w:rsidR="00FE0308" w:rsidRPr="00FE0308" w:rsidRDefault="00FE0308" w:rsidP="004F3B67">
      <w:pPr>
        <w:rPr>
          <w:color w:val="000000" w:themeColor="text1"/>
        </w:rPr>
      </w:pPr>
    </w:p>
    <w:p w:rsidR="00FE0308" w:rsidRPr="00FE0308" w:rsidRDefault="00FE0308" w:rsidP="004F3B67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FE0308">
        <w:rPr>
          <w:color w:val="000000" w:themeColor="text1"/>
        </w:rPr>
        <w:t xml:space="preserve">Mathematical modeling </w:t>
      </w:r>
    </w:p>
    <w:p w:rsidR="00237D2B" w:rsidRPr="00237D2B" w:rsidRDefault="00237D2B" w:rsidP="004F3B67">
      <w:pPr>
        <w:rPr>
          <w:color w:val="000000" w:themeColor="text1"/>
        </w:rPr>
      </w:pPr>
    </w:p>
    <w:p w:rsidR="00E8318D" w:rsidRDefault="00E8318D" w:rsidP="004F3B67">
      <w:pPr>
        <w:rPr>
          <w:i/>
          <w:iCs/>
          <w:color w:val="000000" w:themeColor="text1"/>
        </w:rPr>
      </w:pPr>
      <w:r>
        <w:rPr>
          <w:color w:val="000000" w:themeColor="text1"/>
        </w:rPr>
        <w:t>T</w:t>
      </w:r>
      <w:r w:rsidRPr="00E8318D">
        <w:rPr>
          <w:color w:val="000000" w:themeColor="text1"/>
        </w:rPr>
        <w:t xml:space="preserve">o account for </w:t>
      </w:r>
      <w:r w:rsidR="006518FA">
        <w:rPr>
          <w:color w:val="000000" w:themeColor="text1"/>
        </w:rPr>
        <w:t xml:space="preserve">a </w:t>
      </w:r>
      <w:r w:rsidRPr="00E8318D">
        <w:rPr>
          <w:color w:val="000000" w:themeColor="text1"/>
        </w:rPr>
        <w:t xml:space="preserve">variation in growth and survival among strains of </w:t>
      </w:r>
      <w:r w:rsidRPr="00E8318D">
        <w:rPr>
          <w:i/>
          <w:iCs/>
          <w:color w:val="000000" w:themeColor="text1"/>
        </w:rPr>
        <w:t>L. monocytogenes</w:t>
      </w:r>
      <w:r w:rsidRPr="00E8318D">
        <w:rPr>
          <w:color w:val="000000" w:themeColor="text1"/>
        </w:rPr>
        <w:t>, challenge studies should generally be conducted with a pool (i.e., cocktail) of at least three to five different strains.</w:t>
      </w:r>
      <w:r>
        <w:rPr>
          <w:color w:val="000000" w:themeColor="text1"/>
        </w:rPr>
        <w:t xml:space="preserve"> </w:t>
      </w:r>
      <w:r w:rsidRPr="00E8318D">
        <w:rPr>
          <w:color w:val="000000" w:themeColor="text1"/>
        </w:rPr>
        <w:t xml:space="preserve">Many of the organisms that are considered suitable for challenge testing have been carefully characterized and made available in international culture collections </w:t>
      </w:r>
      <w:r>
        <w:rPr>
          <w:color w:val="000000" w:themeColor="text1"/>
        </w:rPr>
        <w:t xml:space="preserve">(ATCC and ILSI) </w:t>
      </w:r>
      <w:r w:rsidRPr="00E8318D">
        <w:rPr>
          <w:color w:val="000000" w:themeColor="text1"/>
        </w:rPr>
        <w:t xml:space="preserve">from where they should be obtained. </w:t>
      </w:r>
      <w:r w:rsidR="00B54207">
        <w:rPr>
          <w:color w:val="000000" w:themeColor="text1"/>
        </w:rPr>
        <w:t>M</w:t>
      </w:r>
      <w:r w:rsidR="00B54207" w:rsidRPr="00985982">
        <w:rPr>
          <w:color w:val="000000" w:themeColor="text1"/>
        </w:rPr>
        <w:t>icrobiological challenge testing using surrogate organisms is w</w:t>
      </w:r>
      <w:r w:rsidR="00B54207">
        <w:rPr>
          <w:color w:val="000000" w:themeColor="text1"/>
        </w:rPr>
        <w:t>idely used for the process validation. T</w:t>
      </w:r>
      <w:r w:rsidR="00B54207" w:rsidRPr="00D93494">
        <w:rPr>
          <w:color w:val="000000" w:themeColor="text1"/>
        </w:rPr>
        <w:t xml:space="preserve">he surrogate being used should demonstrate growth and resistance characteristics equal to or greater than that of </w:t>
      </w:r>
      <w:r w:rsidR="00B54207" w:rsidRPr="00D93494">
        <w:rPr>
          <w:i/>
          <w:iCs/>
          <w:color w:val="000000" w:themeColor="text1"/>
        </w:rPr>
        <w:t>L. monocytogenes</w:t>
      </w:r>
      <w:r w:rsidR="00B54207" w:rsidRPr="00D93494">
        <w:rPr>
          <w:color w:val="000000" w:themeColor="text1"/>
        </w:rPr>
        <w:t xml:space="preserve">. </w:t>
      </w:r>
      <w:r w:rsidR="00B54207" w:rsidRPr="00D93494">
        <w:rPr>
          <w:i/>
          <w:iCs/>
          <w:color w:val="000000" w:themeColor="text1"/>
        </w:rPr>
        <w:t xml:space="preserve">Listeria </w:t>
      </w:r>
      <w:proofErr w:type="spellStart"/>
      <w:r w:rsidR="00B54207" w:rsidRPr="00D93494">
        <w:rPr>
          <w:i/>
          <w:iCs/>
          <w:color w:val="000000" w:themeColor="text1"/>
        </w:rPr>
        <w:t>innocua</w:t>
      </w:r>
      <w:proofErr w:type="spellEnd"/>
      <w:r w:rsidR="00B54207" w:rsidRPr="00D93494">
        <w:rPr>
          <w:color w:val="000000" w:themeColor="text1"/>
        </w:rPr>
        <w:t xml:space="preserve"> can be used as a surrogate for </w:t>
      </w:r>
      <w:r w:rsidR="00B54207" w:rsidRPr="00D93494">
        <w:rPr>
          <w:i/>
          <w:iCs/>
          <w:color w:val="000000" w:themeColor="text1"/>
        </w:rPr>
        <w:t>L. monocytogenes</w:t>
      </w:r>
      <w:r w:rsidR="00B54207">
        <w:rPr>
          <w:i/>
          <w:iCs/>
          <w:color w:val="000000" w:themeColor="text1"/>
        </w:rPr>
        <w:t xml:space="preserve">. </w:t>
      </w:r>
    </w:p>
    <w:p w:rsidR="009738C8" w:rsidRDefault="009738C8" w:rsidP="004F3B67">
      <w:pPr>
        <w:rPr>
          <w:i/>
          <w:iCs/>
          <w:color w:val="000000" w:themeColor="text1"/>
        </w:rPr>
      </w:pPr>
    </w:p>
    <w:p w:rsidR="009738C8" w:rsidRDefault="009738C8" w:rsidP="004F3B67">
      <w:pPr>
        <w:rPr>
          <w:i/>
          <w:iCs/>
          <w:color w:val="000000" w:themeColor="text1"/>
        </w:rPr>
      </w:pPr>
      <w:r>
        <w:rPr>
          <w:iCs/>
          <w:color w:val="000000" w:themeColor="text1"/>
        </w:rPr>
        <w:t>Another important component of HPP validation is packaging</w:t>
      </w:r>
      <w:r w:rsidR="00584406">
        <w:rPr>
          <w:iCs/>
          <w:color w:val="000000" w:themeColor="text1"/>
        </w:rPr>
        <w:t xml:space="preserve">. </w:t>
      </w:r>
      <w:r w:rsidR="00584406" w:rsidRPr="00584406">
        <w:rPr>
          <w:iCs/>
          <w:color w:val="000000" w:themeColor="text1"/>
        </w:rPr>
        <w:t xml:space="preserve">Packaging is a vital factor for any preservation method to be successful since it protects the food products from recontamination during processing and adverse environmental conditions during storage.  </w:t>
      </w:r>
      <w:r w:rsidR="00A64D5F">
        <w:rPr>
          <w:iCs/>
          <w:color w:val="000000" w:themeColor="text1"/>
        </w:rPr>
        <w:t>A</w:t>
      </w:r>
      <w:r w:rsidR="00A64D5F" w:rsidRPr="00A64D5F">
        <w:rPr>
          <w:iCs/>
          <w:color w:val="000000" w:themeColor="text1"/>
        </w:rPr>
        <w:t xml:space="preserve">ny damage or alteration in the package or packaging materials </w:t>
      </w:r>
      <w:r w:rsidR="00C21C3B">
        <w:rPr>
          <w:iCs/>
          <w:color w:val="000000" w:themeColor="text1"/>
        </w:rPr>
        <w:t xml:space="preserve">during HPP </w:t>
      </w:r>
      <w:r w:rsidR="00A64D5F" w:rsidRPr="00A64D5F">
        <w:rPr>
          <w:iCs/>
          <w:color w:val="000000" w:themeColor="text1"/>
        </w:rPr>
        <w:t>can potentially cause the loss of its hermetical properties. Therefore quality, safety and shelf life of the food product can be adversely affected</w:t>
      </w:r>
      <w:r w:rsidR="00A64D5F">
        <w:rPr>
          <w:iCs/>
          <w:color w:val="000000" w:themeColor="text1"/>
        </w:rPr>
        <w:t xml:space="preserve">. </w:t>
      </w:r>
      <w:r w:rsidR="00A87DA1" w:rsidRPr="00A87DA1">
        <w:rPr>
          <w:iCs/>
          <w:color w:val="000000" w:themeColor="text1"/>
          <w:lang w:val="en-GB"/>
        </w:rPr>
        <w:t>Barrier, mechanical and mass transfer properties (sorption and migration) of the package must be resistant to the changes occurring during the process.</w:t>
      </w:r>
      <w:r w:rsidR="00A87DA1">
        <w:rPr>
          <w:iCs/>
          <w:color w:val="000000" w:themeColor="text1"/>
          <w:lang w:val="en-GB"/>
        </w:rPr>
        <w:t xml:space="preserve"> </w:t>
      </w:r>
      <w:r w:rsidR="00894361">
        <w:rPr>
          <w:iCs/>
          <w:color w:val="000000" w:themeColor="text1"/>
          <w:lang w:val="en-GB"/>
        </w:rPr>
        <w:t xml:space="preserve"> In general, m</w:t>
      </w:r>
      <w:r w:rsidR="00894361" w:rsidRPr="00894361">
        <w:rPr>
          <w:iCs/>
          <w:color w:val="000000" w:themeColor="text1"/>
          <w:lang w:val="en-GB"/>
        </w:rPr>
        <w:t xml:space="preserve">ost of the flexible packaging materials used in the food industry show reasonably good compatibility with </w:t>
      </w:r>
      <w:r w:rsidR="00894361">
        <w:rPr>
          <w:iCs/>
          <w:color w:val="000000" w:themeColor="text1"/>
          <w:lang w:val="en-GB"/>
        </w:rPr>
        <w:t>HPP</w:t>
      </w:r>
      <w:r w:rsidR="00894361" w:rsidRPr="00894361">
        <w:rPr>
          <w:iCs/>
          <w:color w:val="000000" w:themeColor="text1"/>
          <w:lang w:val="en-GB"/>
        </w:rPr>
        <w:t xml:space="preserve"> when there is no severe heat contribution.</w:t>
      </w:r>
    </w:p>
    <w:p w:rsidR="00E8318D" w:rsidRPr="00237D2B" w:rsidRDefault="00E8318D" w:rsidP="004F3B67">
      <w:pPr>
        <w:rPr>
          <w:color w:val="000000" w:themeColor="text1"/>
        </w:rPr>
      </w:pPr>
    </w:p>
    <w:p w:rsidR="00B54207" w:rsidRPr="00530523" w:rsidRDefault="00B54207" w:rsidP="004F3B67">
      <w:pPr>
        <w:rPr>
          <w:color w:val="000000" w:themeColor="text1"/>
        </w:rPr>
      </w:pPr>
      <w:r>
        <w:rPr>
          <w:color w:val="000000" w:themeColor="text1"/>
        </w:rPr>
        <w:t xml:space="preserve">The success of </w:t>
      </w:r>
      <w:r w:rsidRPr="00705CE5">
        <w:rPr>
          <w:color w:val="000000" w:themeColor="text1"/>
        </w:rPr>
        <w:t>HPP</w:t>
      </w:r>
      <w:r>
        <w:rPr>
          <w:color w:val="000000" w:themeColor="text1"/>
        </w:rPr>
        <w:t xml:space="preserve"> </w:t>
      </w:r>
      <w:r w:rsidR="00AC6ACF">
        <w:rPr>
          <w:color w:val="000000" w:themeColor="text1"/>
        </w:rPr>
        <w:t>implementation</w:t>
      </w:r>
      <w:r>
        <w:rPr>
          <w:color w:val="000000" w:themeColor="text1"/>
        </w:rPr>
        <w:t xml:space="preserve"> by </w:t>
      </w:r>
      <w:r w:rsidR="00E23A27">
        <w:rPr>
          <w:color w:val="000000" w:themeColor="text1"/>
        </w:rPr>
        <w:t>a large number of companies has</w:t>
      </w:r>
      <w:r w:rsidRPr="00B5420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been </w:t>
      </w:r>
      <w:r w:rsidR="00AC6ACF">
        <w:rPr>
          <w:color w:val="000000" w:themeColor="text1"/>
        </w:rPr>
        <w:t xml:space="preserve">demonstrated that HPP </w:t>
      </w:r>
      <w:r w:rsidR="009738C8">
        <w:rPr>
          <w:color w:val="000000" w:themeColor="text1"/>
        </w:rPr>
        <w:t>is</w:t>
      </w:r>
      <w:r w:rsidR="00AC6ACF">
        <w:rPr>
          <w:color w:val="000000" w:themeColor="text1"/>
        </w:rPr>
        <w:t xml:space="preserve"> an effective food safety measure</w:t>
      </w:r>
      <w:r>
        <w:rPr>
          <w:color w:val="000000" w:themeColor="text1"/>
        </w:rPr>
        <w:t xml:space="preserve"> </w:t>
      </w:r>
      <w:r w:rsidRPr="00705CE5">
        <w:rPr>
          <w:color w:val="000000" w:themeColor="text1"/>
        </w:rPr>
        <w:t xml:space="preserve">that can be applied to RTE </w:t>
      </w:r>
      <w:r w:rsidR="00810964">
        <w:rPr>
          <w:color w:val="000000" w:themeColor="text1"/>
        </w:rPr>
        <w:t xml:space="preserve">meals </w:t>
      </w:r>
      <w:r w:rsidR="00E23A27">
        <w:rPr>
          <w:color w:val="000000" w:themeColor="text1"/>
        </w:rPr>
        <w:t>to mitigate</w:t>
      </w:r>
      <w:r>
        <w:rPr>
          <w:color w:val="000000" w:themeColor="text1"/>
        </w:rPr>
        <w:t xml:space="preserve"> risk </w:t>
      </w:r>
      <w:r w:rsidRPr="00705CE5">
        <w:rPr>
          <w:color w:val="000000" w:themeColor="text1"/>
        </w:rPr>
        <w:t xml:space="preserve">of </w:t>
      </w:r>
      <w:r w:rsidRPr="00705CE5">
        <w:rPr>
          <w:i/>
          <w:iCs/>
          <w:color w:val="000000" w:themeColor="text1"/>
        </w:rPr>
        <w:t>L. monocytogenes</w:t>
      </w:r>
      <w:r w:rsidRPr="00705CE5">
        <w:rPr>
          <w:color w:val="000000" w:themeColor="text1"/>
        </w:rPr>
        <w:t xml:space="preserve"> contamination.</w:t>
      </w:r>
      <w:r>
        <w:rPr>
          <w:color w:val="000000" w:themeColor="text1"/>
        </w:rPr>
        <w:t xml:space="preserve"> </w:t>
      </w:r>
    </w:p>
    <w:p w:rsidR="00530523" w:rsidRPr="00530523" w:rsidRDefault="00530523" w:rsidP="004F3B67">
      <w:pPr>
        <w:rPr>
          <w:strike/>
          <w:color w:val="000000" w:themeColor="text1"/>
        </w:rPr>
      </w:pPr>
    </w:p>
    <w:p w:rsidR="009E6607" w:rsidRPr="009E6607" w:rsidRDefault="009E6607" w:rsidP="004F3B67">
      <w:pPr>
        <w:rPr>
          <w:color w:val="000000" w:themeColor="text1"/>
        </w:rPr>
      </w:pPr>
    </w:p>
    <w:p w:rsidR="009E6607" w:rsidRPr="009E6607" w:rsidRDefault="009E6607" w:rsidP="004F3B67"/>
    <w:p w:rsidR="009E6607" w:rsidRDefault="009E6607" w:rsidP="004F3B67"/>
    <w:p w:rsidR="00341290" w:rsidRPr="000B1418" w:rsidRDefault="00341290" w:rsidP="004F3B67"/>
    <w:sectPr w:rsidR="00341290" w:rsidRPr="000B1418" w:rsidSect="008D10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747C"/>
    <w:multiLevelType w:val="hybridMultilevel"/>
    <w:tmpl w:val="F09E9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343AC"/>
    <w:multiLevelType w:val="hybridMultilevel"/>
    <w:tmpl w:val="BEB80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D5EB8"/>
    <w:multiLevelType w:val="hybridMultilevel"/>
    <w:tmpl w:val="2AAC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E4BF4"/>
    <w:multiLevelType w:val="hybridMultilevel"/>
    <w:tmpl w:val="49AA7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7016F"/>
    <w:multiLevelType w:val="hybridMultilevel"/>
    <w:tmpl w:val="659C7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4F2C45"/>
    <w:multiLevelType w:val="hybridMultilevel"/>
    <w:tmpl w:val="0AE8E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2819D3"/>
    <w:multiLevelType w:val="hybridMultilevel"/>
    <w:tmpl w:val="E3E6A1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7D750D"/>
    <w:multiLevelType w:val="hybridMultilevel"/>
    <w:tmpl w:val="FF145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326B87"/>
    <w:multiLevelType w:val="hybridMultilevel"/>
    <w:tmpl w:val="DFAC744E"/>
    <w:lvl w:ilvl="0" w:tplc="38188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1A3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E63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261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149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0A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C41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924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C3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01D"/>
    <w:rsid w:val="00021031"/>
    <w:rsid w:val="0004701D"/>
    <w:rsid w:val="0005128F"/>
    <w:rsid w:val="000B1418"/>
    <w:rsid w:val="00104B27"/>
    <w:rsid w:val="0014089F"/>
    <w:rsid w:val="00156E38"/>
    <w:rsid w:val="001C585F"/>
    <w:rsid w:val="00236955"/>
    <w:rsid w:val="00237D2B"/>
    <w:rsid w:val="00287F8B"/>
    <w:rsid w:val="002A4C98"/>
    <w:rsid w:val="003315C6"/>
    <w:rsid w:val="00341290"/>
    <w:rsid w:val="003552F3"/>
    <w:rsid w:val="003C3F4C"/>
    <w:rsid w:val="00426588"/>
    <w:rsid w:val="004271CF"/>
    <w:rsid w:val="004F3B67"/>
    <w:rsid w:val="00530523"/>
    <w:rsid w:val="005460CE"/>
    <w:rsid w:val="00575E6F"/>
    <w:rsid w:val="00584406"/>
    <w:rsid w:val="00631A17"/>
    <w:rsid w:val="006518FA"/>
    <w:rsid w:val="00675E6F"/>
    <w:rsid w:val="0069504F"/>
    <w:rsid w:val="0069669C"/>
    <w:rsid w:val="00705CE5"/>
    <w:rsid w:val="0075078D"/>
    <w:rsid w:val="007D4D06"/>
    <w:rsid w:val="00810964"/>
    <w:rsid w:val="00835D5A"/>
    <w:rsid w:val="00842E03"/>
    <w:rsid w:val="00863D4F"/>
    <w:rsid w:val="00894361"/>
    <w:rsid w:val="008B23BA"/>
    <w:rsid w:val="008D10C4"/>
    <w:rsid w:val="00954447"/>
    <w:rsid w:val="009738C8"/>
    <w:rsid w:val="00985982"/>
    <w:rsid w:val="009956F0"/>
    <w:rsid w:val="009C0395"/>
    <w:rsid w:val="009E1D5D"/>
    <w:rsid w:val="009E6607"/>
    <w:rsid w:val="009F7475"/>
    <w:rsid w:val="00A2603F"/>
    <w:rsid w:val="00A64D5F"/>
    <w:rsid w:val="00A76107"/>
    <w:rsid w:val="00A879C9"/>
    <w:rsid w:val="00A87DA1"/>
    <w:rsid w:val="00AC6ACF"/>
    <w:rsid w:val="00B010BD"/>
    <w:rsid w:val="00B148D7"/>
    <w:rsid w:val="00B54207"/>
    <w:rsid w:val="00B76B19"/>
    <w:rsid w:val="00B85ED0"/>
    <w:rsid w:val="00BD586F"/>
    <w:rsid w:val="00C1536B"/>
    <w:rsid w:val="00C21C3B"/>
    <w:rsid w:val="00CA69CC"/>
    <w:rsid w:val="00D93494"/>
    <w:rsid w:val="00E13309"/>
    <w:rsid w:val="00E23A27"/>
    <w:rsid w:val="00E8318D"/>
    <w:rsid w:val="00ED35D8"/>
    <w:rsid w:val="00FB5531"/>
    <w:rsid w:val="00FC0CC1"/>
    <w:rsid w:val="00FE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6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31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1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8D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8318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4207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6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31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1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18D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8318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420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75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a/url?sa=i&amp;rct=j&amp;q=&amp;esrc=s&amp;frm=1&amp;source=images&amp;cd=&amp;cad=rja&amp;uact=8&amp;ved=0CAcQjRw&amp;url=http%3A%2F%2Fwww.inspection.gc.ca%2Ffood%2Finformation-for-consumers%2Ffood-safety-system%2Fbeef-processing-and-inspection%2Feng%2F1374555766340%2F1374821164166&amp;ei=_q9LVaDjFMSWygSqzoDYBg&amp;bvm=bv.92765956,d.cGU&amp;psig=AFQjCNFmAJXlDftyQOK6WXYvXPofcr0ujA&amp;ust=14311099741932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AAFC-AAC</Company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 Koutchma</cp:lastModifiedBy>
  <cp:revision>7</cp:revision>
  <dcterms:created xsi:type="dcterms:W3CDTF">2015-05-07T17:05:00Z</dcterms:created>
  <dcterms:modified xsi:type="dcterms:W3CDTF">2015-05-07T18:37:00Z</dcterms:modified>
</cp:coreProperties>
</file>