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Default Extension="bin" ContentType="application/vnd.openxmlformats-officedocument.wordprocessingml.printerSettings"/>
  <Override PartName="/word/header1.xml" ContentType="application/vnd.openxmlformats-officedocument.wordprocessingml.header+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025" w:rsidRPr="00BE4949" w:rsidRDefault="00C65025">
      <w:pPr>
        <w:rPr>
          <w:rFonts w:ascii="Verdana" w:hAnsi="Verdana"/>
        </w:rPr>
      </w:pPr>
    </w:p>
    <w:tbl>
      <w:tblPr>
        <w:tblStyle w:val="TableGrid"/>
        <w:tblW w:w="5000" w:type="pct"/>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0BF"/>
      </w:tblPr>
      <w:tblGrid>
        <w:gridCol w:w="4722"/>
        <w:gridCol w:w="8570"/>
        <w:gridCol w:w="882"/>
      </w:tblGrid>
      <w:tr w:rsidR="0075449F" w:rsidRPr="00BE4949">
        <w:tc>
          <w:tcPr>
            <w:tcW w:w="1666" w:type="pct"/>
            <w:shd w:val="solid" w:color="FFFFFF" w:themeColor="background1" w:fill="auto"/>
            <w:vAlign w:val="center"/>
          </w:tcPr>
          <w:p w:rsidR="0075449F" w:rsidRPr="00B44547" w:rsidRDefault="0075449F">
            <w:pPr>
              <w:rPr>
                <w:rFonts w:ascii="Verdana" w:hAnsi="Verdana"/>
                <w:b/>
              </w:rPr>
            </w:pPr>
            <w:r w:rsidRPr="00B44547">
              <w:rPr>
                <w:rFonts w:ascii="Verdana" w:hAnsi="Verdana"/>
                <w:b/>
              </w:rPr>
              <w:t>Learn why Switzerland is an ideal location for your assets</w:t>
            </w:r>
          </w:p>
        </w:tc>
        <w:tc>
          <w:tcPr>
            <w:tcW w:w="3022" w:type="pct"/>
            <w:tcBorders>
              <w:right w:val="single" w:sz="4" w:space="0" w:color="auto"/>
            </w:tcBorders>
            <w:vAlign w:val="center"/>
          </w:tcPr>
          <w:p w:rsidR="0075449F" w:rsidRPr="00BE4949" w:rsidRDefault="00795771" w:rsidP="00C65025">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 xml:space="preserve">Read </w:t>
            </w:r>
            <w:hyperlink r:id="rId4" w:history="1">
              <w:r w:rsidR="0075449F" w:rsidRPr="00BE4949">
                <w:rPr>
                  <w:rStyle w:val="Hyperlink"/>
                  <w:rFonts w:ascii="Verdana" w:hAnsi="Verdana"/>
                </w:rPr>
                <w:t>“Why Switzerland”</w:t>
              </w:r>
            </w:hyperlink>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EE2FE2" w:rsidP="00C65025">
            <w:pPr>
              <w:rPr>
                <w:rFonts w:ascii="Verdana" w:hAnsi="Verdana"/>
              </w:rPr>
            </w:pPr>
            <w:r>
              <w:rPr>
                <w:rFonts w:ascii="Zapf Dingbats" w:hAnsi="Zapf Dingbats" w:cs="Times New Roman"/>
                <w:szCs w:val="19"/>
              </w:rPr>
              <w:t></w:t>
            </w:r>
          </w:p>
        </w:tc>
      </w:tr>
      <w:tr w:rsidR="0075449F" w:rsidRPr="00BE4949">
        <w:trPr>
          <w:trHeight w:val="683"/>
        </w:trPr>
        <w:tc>
          <w:tcPr>
            <w:tcW w:w="1666" w:type="pct"/>
            <w:vAlign w:val="center"/>
          </w:tcPr>
          <w:p w:rsidR="0075449F" w:rsidRPr="00B44547" w:rsidRDefault="0075449F">
            <w:pPr>
              <w:rPr>
                <w:rFonts w:ascii="Verdana" w:hAnsi="Verdana"/>
                <w:b/>
              </w:rPr>
            </w:pPr>
            <w:r w:rsidRPr="00B44547">
              <w:rPr>
                <w:rFonts w:ascii="Verdana" w:hAnsi="Verdana"/>
                <w:b/>
              </w:rPr>
              <w:t>Learn about Legal and Compliance issues</w:t>
            </w:r>
          </w:p>
        </w:tc>
        <w:tc>
          <w:tcPr>
            <w:tcW w:w="3022" w:type="pct"/>
            <w:tcBorders>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 xml:space="preserve">Read the subjects under </w:t>
            </w:r>
            <w:hyperlink r:id="rId5" w:history="1">
              <w:r w:rsidR="0075449F" w:rsidRPr="00BE4949">
                <w:rPr>
                  <w:rStyle w:val="Hyperlink"/>
                  <w:rFonts w:ascii="Verdana" w:hAnsi="Verdana"/>
                </w:rPr>
                <w:t>“LECO”</w:t>
              </w:r>
            </w:hyperlink>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pPr>
              <w:rPr>
                <w:rFonts w:ascii="Verdana" w:hAnsi="Verdana"/>
              </w:rPr>
            </w:pPr>
          </w:p>
        </w:tc>
      </w:tr>
      <w:tr w:rsidR="0075449F" w:rsidRPr="00BE4949">
        <w:trPr>
          <w:trHeight w:val="683"/>
        </w:trPr>
        <w:tc>
          <w:tcPr>
            <w:tcW w:w="1666" w:type="pct"/>
            <w:vAlign w:val="center"/>
          </w:tcPr>
          <w:p w:rsidR="0075449F" w:rsidRPr="00B44547" w:rsidRDefault="0075449F">
            <w:pPr>
              <w:rPr>
                <w:rFonts w:ascii="Verdana" w:hAnsi="Verdana"/>
                <w:b/>
              </w:rPr>
            </w:pPr>
            <w:r w:rsidRPr="00B44547">
              <w:rPr>
                <w:rFonts w:ascii="Verdana" w:hAnsi="Verdana"/>
                <w:b/>
              </w:rPr>
              <w:t>Minimum amount of investment</w:t>
            </w:r>
          </w:p>
        </w:tc>
        <w:tc>
          <w:tcPr>
            <w:tcW w:w="3022" w:type="pct"/>
            <w:tcBorders>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 xml:space="preserve">Determine approx. amount of investment, often there are minimum requirements noted in the </w:t>
            </w:r>
            <w:r w:rsidR="00B349C1">
              <w:rPr>
                <w:rFonts w:ascii="Verdana" w:hAnsi="Verdana"/>
              </w:rPr>
              <w:t xml:space="preserve">Swiss SEC RIA </w:t>
            </w:r>
            <w:r w:rsidR="0075449F" w:rsidRPr="00BE4949">
              <w:rPr>
                <w:rFonts w:ascii="Verdana" w:hAnsi="Verdana"/>
              </w:rPr>
              <w:t>listing or in the ADV Part 2 brochure.</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pPr>
              <w:rPr>
                <w:rFonts w:ascii="Verdana" w:hAnsi="Verdana"/>
              </w:rPr>
            </w:pPr>
          </w:p>
        </w:tc>
      </w:tr>
      <w:tr w:rsidR="0075449F" w:rsidRPr="00BE4949">
        <w:tc>
          <w:tcPr>
            <w:tcW w:w="1666" w:type="pct"/>
            <w:vAlign w:val="center"/>
          </w:tcPr>
          <w:p w:rsidR="0075449F" w:rsidRPr="00B44547" w:rsidRDefault="0075449F" w:rsidP="00C65025">
            <w:pPr>
              <w:rPr>
                <w:rFonts w:ascii="Verdana" w:hAnsi="Verdana"/>
                <w:b/>
              </w:rPr>
            </w:pPr>
            <w:r w:rsidRPr="00B44547">
              <w:rPr>
                <w:rFonts w:ascii="Verdana" w:hAnsi="Verdana"/>
                <w:b/>
              </w:rPr>
              <w:t>Find a Swiss SEC-registered investment adviser (SEC RIA)</w:t>
            </w:r>
          </w:p>
        </w:tc>
        <w:tc>
          <w:tcPr>
            <w:tcW w:w="3022" w:type="pct"/>
            <w:tcBorders>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 xml:space="preserve">Go to </w:t>
            </w:r>
            <w:hyperlink r:id="rId6" w:history="1">
              <w:r w:rsidR="0075449F" w:rsidRPr="00074294">
                <w:rPr>
                  <w:rStyle w:val="Hyperlink"/>
                  <w:rFonts w:ascii="Verdana" w:hAnsi="Verdana"/>
                </w:rPr>
                <w:t xml:space="preserve">“SEC </w:t>
              </w:r>
              <w:proofErr w:type="spellStart"/>
              <w:r w:rsidR="0075449F" w:rsidRPr="00074294">
                <w:rPr>
                  <w:rStyle w:val="Hyperlink"/>
                  <w:rFonts w:ascii="Verdana" w:hAnsi="Verdana"/>
                </w:rPr>
                <w:t>RIAs</w:t>
              </w:r>
              <w:proofErr w:type="spellEnd"/>
              <w:r w:rsidR="0075449F" w:rsidRPr="00074294">
                <w:rPr>
                  <w:rStyle w:val="Hyperlink"/>
                  <w:rFonts w:ascii="Verdana" w:hAnsi="Verdana"/>
                </w:rPr>
                <w:t xml:space="preserve"> – Alphabetical”</w:t>
              </w:r>
            </w:hyperlink>
            <w:r w:rsidR="0075449F" w:rsidRPr="00BE4949">
              <w:rPr>
                <w:rFonts w:ascii="Verdana" w:hAnsi="Verdana"/>
              </w:rPr>
              <w:t xml:space="preserve"> and read the various wealth managers’ SEC registrations and ADV Part 2 brochures. Make note of the Swiss SEC </w:t>
            </w:r>
            <w:proofErr w:type="spellStart"/>
            <w:r w:rsidR="0075449F" w:rsidRPr="00BE4949">
              <w:rPr>
                <w:rFonts w:ascii="Verdana" w:hAnsi="Verdana"/>
              </w:rPr>
              <w:t>RIAs</w:t>
            </w:r>
            <w:proofErr w:type="spellEnd"/>
            <w:r w:rsidR="0075449F" w:rsidRPr="00BE4949">
              <w:rPr>
                <w:rFonts w:ascii="Verdana" w:hAnsi="Verdana"/>
              </w:rPr>
              <w:t xml:space="preserve"> you would like to get to know.</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SEC registration</w:t>
            </w:r>
          </w:p>
        </w:tc>
        <w:tc>
          <w:tcPr>
            <w:tcW w:w="3022" w:type="pct"/>
            <w:tcBorders>
              <w:right w:val="single" w:sz="4" w:space="0" w:color="auto"/>
            </w:tcBorders>
            <w:vAlign w:val="center"/>
          </w:tcPr>
          <w:p w:rsidR="0075449F" w:rsidRPr="00BE4949" w:rsidRDefault="00795771" w:rsidP="00362BA8">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cs="Verdana"/>
                <w:color w:val="3C3C3C"/>
                <w:szCs w:val="26"/>
              </w:rPr>
              <w:t xml:space="preserve">Contains information about the SEC </w:t>
            </w:r>
            <w:proofErr w:type="spellStart"/>
            <w:r w:rsidR="0075449F" w:rsidRPr="00BE4949">
              <w:rPr>
                <w:rFonts w:ascii="Verdana" w:hAnsi="Verdana" w:cs="Verdana"/>
                <w:color w:val="3C3C3C"/>
                <w:szCs w:val="26"/>
              </w:rPr>
              <w:t>RIA’s</w:t>
            </w:r>
            <w:proofErr w:type="spellEnd"/>
            <w:r w:rsidR="0075449F" w:rsidRPr="00BE4949">
              <w:rPr>
                <w:rFonts w:ascii="Verdana" w:hAnsi="Verdana" w:cs="Verdana"/>
                <w:color w:val="3C3C3C"/>
                <w:szCs w:val="26"/>
              </w:rPr>
              <w:t xml:space="preserve"> business.</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rsidP="00362BA8">
            <w:pPr>
              <w:rPr>
                <w:rFonts w:ascii="Verdana" w:hAnsi="Verdana" w:cs="Verdana"/>
                <w:color w:val="3C3C3C"/>
                <w:szCs w:val="26"/>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ADV Part 2 Brochure</w:t>
            </w:r>
          </w:p>
        </w:tc>
        <w:tc>
          <w:tcPr>
            <w:tcW w:w="3022" w:type="pct"/>
            <w:tcBorders>
              <w:right w:val="single" w:sz="4" w:space="0" w:color="auto"/>
            </w:tcBorders>
            <w:vAlign w:val="center"/>
          </w:tcPr>
          <w:p w:rsidR="0075449F" w:rsidRPr="00BE4949" w:rsidRDefault="00795771" w:rsidP="00362BA8">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cs="Verdana"/>
                <w:color w:val="3C3C3C"/>
                <w:szCs w:val="26"/>
              </w:rPr>
              <w:t xml:space="preserve">ADV Part 2 brochure describes, in a narrative format, the SEC </w:t>
            </w:r>
            <w:proofErr w:type="spellStart"/>
            <w:r w:rsidR="0075449F" w:rsidRPr="00BE4949">
              <w:rPr>
                <w:rFonts w:ascii="Verdana" w:hAnsi="Verdana" w:cs="Verdana"/>
                <w:color w:val="3C3C3C"/>
                <w:szCs w:val="26"/>
              </w:rPr>
              <w:t>RIA’s</w:t>
            </w:r>
            <w:proofErr w:type="spellEnd"/>
            <w:r w:rsidR="0075449F" w:rsidRPr="00BE4949">
              <w:rPr>
                <w:rFonts w:ascii="Verdana" w:hAnsi="Verdana" w:cs="Verdana"/>
                <w:color w:val="3C3C3C"/>
                <w:szCs w:val="26"/>
              </w:rPr>
              <w:t xml:space="preserve"> business practices, fees etc.</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rsidP="00362BA8">
            <w:pPr>
              <w:rPr>
                <w:rFonts w:ascii="Verdana" w:hAnsi="Verdana" w:cs="Verdana"/>
                <w:color w:val="3C3C3C"/>
                <w:szCs w:val="26"/>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Review choice</w:t>
            </w:r>
          </w:p>
        </w:tc>
        <w:tc>
          <w:tcPr>
            <w:tcW w:w="3022" w:type="pct"/>
            <w:tcBorders>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Review the choice of your Swiss SEC RIA with your local, trusted adviser</w:t>
            </w:r>
            <w:r>
              <w:rPr>
                <w:rFonts w:ascii="Verdana" w:hAnsi="Verdana"/>
              </w:rPr>
              <w:t>,</w:t>
            </w:r>
            <w:r w:rsidR="0075449F" w:rsidRPr="00BE4949">
              <w:rPr>
                <w:rFonts w:ascii="Verdana" w:hAnsi="Verdana"/>
              </w:rPr>
              <w:t xml:space="preserve"> if desired.</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 xml:space="preserve">Initial contact </w:t>
            </w:r>
          </w:p>
        </w:tc>
        <w:tc>
          <w:tcPr>
            <w:tcW w:w="3022" w:type="pct"/>
            <w:tcBorders>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Call or email your Swiss SEC RIA of choice to request an initial conversation and ask how you can prepare for it on your side.</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Initial conversation</w:t>
            </w:r>
          </w:p>
        </w:tc>
        <w:tc>
          <w:tcPr>
            <w:tcW w:w="3022" w:type="pct"/>
            <w:tcBorders>
              <w:right w:val="single" w:sz="4" w:space="0" w:color="auto"/>
            </w:tcBorders>
            <w:vAlign w:val="center"/>
          </w:tcPr>
          <w:p w:rsidR="0075449F" w:rsidRPr="00BE4949" w:rsidRDefault="00795771" w:rsidP="00600D1B">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 xml:space="preserve">Consider the approximate amount of investment, the timeframe and your risk appetite, </w:t>
            </w:r>
            <w:r>
              <w:rPr>
                <w:rFonts w:ascii="Verdana" w:hAnsi="Verdana"/>
              </w:rPr>
              <w:t xml:space="preserve">your preferred </w:t>
            </w:r>
            <w:r w:rsidR="0075449F" w:rsidRPr="00BE4949">
              <w:rPr>
                <w:rFonts w:ascii="Verdana" w:hAnsi="Verdana"/>
              </w:rPr>
              <w:t xml:space="preserve">regions and kinds of </w:t>
            </w:r>
            <w:r>
              <w:rPr>
                <w:rFonts w:ascii="Verdana" w:hAnsi="Verdana"/>
              </w:rPr>
              <w:t>investments</w:t>
            </w:r>
            <w:r w:rsidR="003F2FFF">
              <w:rPr>
                <w:rFonts w:ascii="Verdana" w:hAnsi="Verdana"/>
              </w:rPr>
              <w:t xml:space="preserve">. </w:t>
            </w:r>
            <w:r w:rsidR="0075449F" w:rsidRPr="00BE4949">
              <w:rPr>
                <w:rFonts w:ascii="Verdana" w:hAnsi="Verdana"/>
              </w:rPr>
              <w:t>Discuss specific needs e.g. estate planning, trusts etc.</w:t>
            </w:r>
            <w:r w:rsidR="00EC1727">
              <w:rPr>
                <w:rFonts w:ascii="Verdana" w:hAnsi="Verdana"/>
              </w:rPr>
              <w:t xml:space="preserve"> Y</w:t>
            </w:r>
            <w:r w:rsidR="003F2FFF">
              <w:rPr>
                <w:rFonts w:ascii="Verdana" w:hAnsi="Verdana"/>
              </w:rPr>
              <w:t xml:space="preserve">our Swiss SEC RIA is also </w:t>
            </w:r>
            <w:proofErr w:type="gramStart"/>
            <w:r w:rsidR="003F2FFF">
              <w:rPr>
                <w:rFonts w:ascii="Verdana" w:hAnsi="Verdana"/>
              </w:rPr>
              <w:t>well-versed</w:t>
            </w:r>
            <w:proofErr w:type="gramEnd"/>
            <w:r w:rsidR="003F2FFF">
              <w:rPr>
                <w:rFonts w:ascii="Verdana" w:hAnsi="Verdana"/>
              </w:rPr>
              <w:t xml:space="preserve"> in complex multi-jurisdictional, multi-generational issues.</w:t>
            </w:r>
            <w:r w:rsidR="00600D1B">
              <w:rPr>
                <w:rFonts w:ascii="Verdana" w:hAnsi="Verdana"/>
              </w:rPr>
              <w:t xml:space="preserve"> Y</w:t>
            </w:r>
            <w:r w:rsidR="00600D1B" w:rsidRPr="00BE4949">
              <w:rPr>
                <w:rFonts w:ascii="Verdana" w:hAnsi="Verdana"/>
              </w:rPr>
              <w:t>our local, trusted</w:t>
            </w:r>
            <w:r w:rsidR="00600D1B">
              <w:rPr>
                <w:rFonts w:ascii="Verdana" w:hAnsi="Verdana"/>
              </w:rPr>
              <w:t xml:space="preserve"> adviser can join in, if desired</w:t>
            </w:r>
            <w:r w:rsidR="00600D1B" w:rsidRPr="00BE4949">
              <w:rPr>
                <w:rFonts w:ascii="Verdana" w:hAnsi="Verdana"/>
              </w:rPr>
              <w:t>.</w:t>
            </w:r>
            <w:r w:rsidR="00600D1B">
              <w:rPr>
                <w:rFonts w:ascii="Verdana" w:hAnsi="Verdana"/>
              </w:rPr>
              <w:t xml:space="preserve"> </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rsidP="00BF6561">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Strategy</w:t>
            </w:r>
          </w:p>
        </w:tc>
        <w:tc>
          <w:tcPr>
            <w:tcW w:w="3022" w:type="pct"/>
            <w:tcBorders>
              <w:right w:val="single" w:sz="4" w:space="0" w:color="auto"/>
            </w:tcBorders>
            <w:vAlign w:val="center"/>
          </w:tcPr>
          <w:p w:rsidR="0075449F" w:rsidRPr="00BE4949" w:rsidRDefault="00795771" w:rsidP="00132066">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D</w:t>
            </w:r>
            <w:r w:rsidR="00EC1727">
              <w:rPr>
                <w:rFonts w:ascii="Verdana" w:hAnsi="Verdana"/>
              </w:rPr>
              <w:t>iscuss and d</w:t>
            </w:r>
            <w:r w:rsidR="0075449F" w:rsidRPr="00BE4949">
              <w:rPr>
                <w:rFonts w:ascii="Verdana" w:hAnsi="Verdana"/>
              </w:rPr>
              <w:t>etermine the overall strategy you are interested in, e.g. Conservative, Balanced, Dynamic or other special strategies etc.</w:t>
            </w:r>
            <w:r>
              <w:rPr>
                <w:rFonts w:ascii="Verdana" w:hAnsi="Verdana"/>
              </w:rPr>
              <w:t xml:space="preserve"> </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rsidP="0098483E">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Mandate</w:t>
            </w:r>
          </w:p>
        </w:tc>
        <w:tc>
          <w:tcPr>
            <w:tcW w:w="3022" w:type="pct"/>
            <w:tcBorders>
              <w:right w:val="single" w:sz="4" w:space="0" w:color="auto"/>
            </w:tcBorders>
            <w:vAlign w:val="center"/>
          </w:tcPr>
          <w:p w:rsidR="0075449F" w:rsidRPr="00BE4949" w:rsidRDefault="00795771" w:rsidP="0098483E">
            <w:pPr>
              <w:rPr>
                <w:rFonts w:ascii="Verdana" w:hAnsi="Verdana"/>
              </w:rPr>
            </w:pPr>
            <w:r w:rsidRPr="00EB1C49">
              <w:rPr>
                <w:rFonts w:ascii="Zapf Dingbats" w:hAnsi="Zapf Dingbats"/>
                <w:color w:val="FF0000"/>
              </w:rPr>
              <w:t>Ü</w:t>
            </w:r>
            <w:r>
              <w:rPr>
                <w:rFonts w:ascii="Zapf Dingbats" w:hAnsi="Zapf Dingbats"/>
                <w:color w:val="FF0000"/>
              </w:rPr>
              <w:t></w:t>
            </w:r>
            <w:r w:rsidR="00EC1727">
              <w:rPr>
                <w:rFonts w:ascii="Verdana" w:hAnsi="Verdana"/>
              </w:rPr>
              <w:t>Discuss and c</w:t>
            </w:r>
            <w:r w:rsidR="0075449F" w:rsidRPr="00BE4949">
              <w:rPr>
                <w:rFonts w:ascii="Verdana" w:hAnsi="Verdana"/>
              </w:rPr>
              <w:t xml:space="preserve">hoose between a Discretionary </w:t>
            </w:r>
            <w:proofErr w:type="gramStart"/>
            <w:r w:rsidR="0075449F" w:rsidRPr="00BE4949">
              <w:rPr>
                <w:rFonts w:ascii="Verdana" w:hAnsi="Verdana"/>
              </w:rPr>
              <w:t>or</w:t>
            </w:r>
            <w:proofErr w:type="gramEnd"/>
            <w:r w:rsidR="0075449F" w:rsidRPr="00BE4949">
              <w:rPr>
                <w:rFonts w:ascii="Verdana" w:hAnsi="Verdana"/>
              </w:rPr>
              <w:t xml:space="preserve"> an Advisory Mandate.</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rsidP="0098483E">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Discretionary Mandate</w:t>
            </w:r>
          </w:p>
        </w:tc>
        <w:tc>
          <w:tcPr>
            <w:tcW w:w="3022" w:type="pct"/>
            <w:tcBorders>
              <w:right w:val="single" w:sz="4" w:space="0" w:color="auto"/>
            </w:tcBorders>
            <w:vAlign w:val="center"/>
          </w:tcPr>
          <w:p w:rsidR="0075449F" w:rsidRPr="00BE4949" w:rsidRDefault="0075449F" w:rsidP="0098483E">
            <w:pPr>
              <w:rPr>
                <w:rFonts w:ascii="Verdana" w:hAnsi="Verdana"/>
              </w:rPr>
            </w:pPr>
            <w:r w:rsidRPr="00BE4949">
              <w:rPr>
                <w:rFonts w:ascii="Verdana" w:hAnsi="Verdana"/>
              </w:rPr>
              <w:t>Your Swiss SEC RIA manages your assets for you.</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rsidP="0098483E">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Advisory Mandate</w:t>
            </w:r>
          </w:p>
        </w:tc>
        <w:tc>
          <w:tcPr>
            <w:tcW w:w="3022" w:type="pct"/>
            <w:tcBorders>
              <w:right w:val="single" w:sz="4" w:space="0" w:color="auto"/>
            </w:tcBorders>
            <w:vAlign w:val="center"/>
          </w:tcPr>
          <w:p w:rsidR="0075449F" w:rsidRPr="00BE4949" w:rsidRDefault="00795771" w:rsidP="0098483E">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Yo</w:t>
            </w:r>
            <w:r w:rsidR="00D93F88">
              <w:rPr>
                <w:rFonts w:ascii="Verdana" w:hAnsi="Verdana"/>
              </w:rPr>
              <w:t>ur Swiss SEC RIA provides advise</w:t>
            </w:r>
            <w:proofErr w:type="gramStart"/>
            <w:r w:rsidR="0075449F" w:rsidRPr="00BE4949">
              <w:rPr>
                <w:rFonts w:ascii="Verdana" w:hAnsi="Verdana"/>
              </w:rPr>
              <w:t>,</w:t>
            </w:r>
            <w:proofErr w:type="gramEnd"/>
            <w:r w:rsidR="0075449F" w:rsidRPr="00BE4949">
              <w:rPr>
                <w:rFonts w:ascii="Verdana" w:hAnsi="Verdana"/>
              </w:rPr>
              <w:t xml:space="preserve"> you manage your assets yourself.</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rsidP="0098483E">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Fees</w:t>
            </w:r>
          </w:p>
        </w:tc>
        <w:tc>
          <w:tcPr>
            <w:tcW w:w="3022" w:type="pct"/>
            <w:tcBorders>
              <w:right w:val="single" w:sz="4" w:space="0" w:color="auto"/>
            </w:tcBorders>
            <w:vAlign w:val="center"/>
          </w:tcPr>
          <w:p w:rsidR="0075449F" w:rsidRPr="00BE4949" w:rsidRDefault="00795771" w:rsidP="0098483E">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Fees are stated in the ADV Part 2. Depending on the amount of investment, fees may be negotiated. Your Swiss SEC RIA explains how the fees are charged to your account.</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rsidP="0098483E">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Custodian bank</w:t>
            </w:r>
          </w:p>
        </w:tc>
        <w:tc>
          <w:tcPr>
            <w:tcW w:w="3022" w:type="pct"/>
            <w:tcBorders>
              <w:right w:val="single" w:sz="4" w:space="0" w:color="auto"/>
            </w:tcBorders>
            <w:vAlign w:val="center"/>
          </w:tcPr>
          <w:p w:rsidR="0075449F" w:rsidRPr="00BE4949" w:rsidRDefault="00795771" w:rsidP="0098483E">
            <w:pPr>
              <w:rPr>
                <w:rFonts w:ascii="Verdana" w:hAnsi="Verdana"/>
              </w:rPr>
            </w:pPr>
            <w:proofErr w:type="gramStart"/>
            <w:r w:rsidRPr="00EB1C49">
              <w:rPr>
                <w:rFonts w:ascii="Zapf Dingbats" w:hAnsi="Zapf Dingbats"/>
                <w:color w:val="FF0000"/>
              </w:rPr>
              <w:t>Ü</w:t>
            </w:r>
            <w:r>
              <w:rPr>
                <w:rFonts w:ascii="Zapf Dingbats" w:hAnsi="Zapf Dingbats"/>
                <w:color w:val="FF0000"/>
              </w:rPr>
              <w:t></w:t>
            </w:r>
            <w:r w:rsidR="0075449F" w:rsidRPr="00BE4949">
              <w:rPr>
                <w:rFonts w:ascii="Verdana" w:hAnsi="Verdana"/>
              </w:rPr>
              <w:t>Your Swiss SEC RIA recommends one or more custodian banks</w:t>
            </w:r>
            <w:proofErr w:type="gramEnd"/>
            <w:r w:rsidR="0075449F" w:rsidRPr="00BE4949">
              <w:rPr>
                <w:rFonts w:ascii="Verdana" w:hAnsi="Verdana"/>
              </w:rPr>
              <w:t xml:space="preserve">, </w:t>
            </w:r>
            <w:proofErr w:type="gramStart"/>
            <w:r w:rsidR="0075449F" w:rsidRPr="00BE4949">
              <w:rPr>
                <w:rFonts w:ascii="Verdana" w:hAnsi="Verdana"/>
              </w:rPr>
              <w:t>the choice is yours</w:t>
            </w:r>
            <w:proofErr w:type="gramEnd"/>
            <w:r w:rsidR="0075449F" w:rsidRPr="00BE4949">
              <w:rPr>
                <w:rFonts w:ascii="Verdana" w:hAnsi="Verdana"/>
              </w:rPr>
              <w:t>.</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rsidP="0098483E">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Proposal/Information</w:t>
            </w:r>
          </w:p>
        </w:tc>
        <w:tc>
          <w:tcPr>
            <w:tcW w:w="3022" w:type="pct"/>
            <w:tcBorders>
              <w:right w:val="single" w:sz="4" w:space="0" w:color="auto"/>
            </w:tcBorders>
            <w:vAlign w:val="center"/>
          </w:tcPr>
          <w:p w:rsidR="0075449F" w:rsidRPr="00BE4949" w:rsidRDefault="00795771" w:rsidP="0098483E">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 xml:space="preserve">Request and review initial proposal/information. </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rsidP="0098483E">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Discuss proposal/information with your local, trusted adviser</w:t>
            </w:r>
          </w:p>
        </w:tc>
        <w:tc>
          <w:tcPr>
            <w:tcW w:w="3022" w:type="pct"/>
            <w:tcBorders>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If desired, discuss proposal/information with your local, trusted adviser.</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pPr>
              <w:rPr>
                <w:rFonts w:ascii="Verdana" w:hAnsi="Verdana"/>
              </w:rPr>
            </w:pPr>
          </w:p>
        </w:tc>
      </w:tr>
      <w:tr w:rsidR="0075449F" w:rsidRPr="00BE4949">
        <w:tc>
          <w:tcPr>
            <w:tcW w:w="1666" w:type="pct"/>
            <w:vAlign w:val="center"/>
          </w:tcPr>
          <w:p w:rsidR="0075449F" w:rsidRPr="00B44547" w:rsidRDefault="0075449F" w:rsidP="0098483E">
            <w:pPr>
              <w:rPr>
                <w:rFonts w:ascii="Verdana" w:hAnsi="Verdana"/>
                <w:b/>
              </w:rPr>
            </w:pPr>
            <w:r w:rsidRPr="00B44547">
              <w:rPr>
                <w:rFonts w:ascii="Verdana" w:hAnsi="Verdana"/>
                <w:b/>
              </w:rPr>
              <w:t>Fine tune proposal</w:t>
            </w:r>
          </w:p>
        </w:tc>
        <w:tc>
          <w:tcPr>
            <w:tcW w:w="3022" w:type="pct"/>
            <w:tcBorders>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 xml:space="preserve">If required, </w:t>
            </w:r>
            <w:proofErr w:type="gramStart"/>
            <w:r w:rsidR="0075449F" w:rsidRPr="00BE4949">
              <w:rPr>
                <w:rFonts w:ascii="Verdana" w:hAnsi="Verdana"/>
              </w:rPr>
              <w:t>fine tune</w:t>
            </w:r>
            <w:proofErr w:type="gramEnd"/>
            <w:r w:rsidR="0075449F" w:rsidRPr="00BE4949">
              <w:rPr>
                <w:rFonts w:ascii="Verdana" w:hAnsi="Verdana"/>
              </w:rPr>
              <w:t xml:space="preserve"> your proposal with your Swiss SEC RIA.</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Personal meeting</w:t>
            </w:r>
          </w:p>
        </w:tc>
        <w:tc>
          <w:tcPr>
            <w:tcW w:w="3022" w:type="pct"/>
            <w:tcBorders>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 xml:space="preserve">If a personal meeting is </w:t>
            </w:r>
            <w:proofErr w:type="gramStart"/>
            <w:r w:rsidR="0075449F" w:rsidRPr="00BE4949">
              <w:rPr>
                <w:rFonts w:ascii="Verdana" w:hAnsi="Verdana"/>
              </w:rPr>
              <w:t>required,</w:t>
            </w:r>
            <w:proofErr w:type="gramEnd"/>
            <w:r w:rsidR="0075449F" w:rsidRPr="00BE4949">
              <w:rPr>
                <w:rFonts w:ascii="Verdana" w:hAnsi="Verdana"/>
              </w:rPr>
              <w:t xml:space="preserve"> decide if it is to take place in Switzerland (recommended) or in the United States, or in another country.</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Opening an account from the US</w:t>
            </w:r>
          </w:p>
        </w:tc>
        <w:tc>
          <w:tcPr>
            <w:tcW w:w="3022" w:type="pct"/>
            <w:tcBorders>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 xml:space="preserve">If a personal meeting is not </w:t>
            </w:r>
            <w:proofErr w:type="gramStart"/>
            <w:r w:rsidR="0075449F" w:rsidRPr="00BE4949">
              <w:rPr>
                <w:rFonts w:ascii="Verdana" w:hAnsi="Verdana"/>
              </w:rPr>
              <w:t>required,</w:t>
            </w:r>
            <w:proofErr w:type="gramEnd"/>
            <w:r w:rsidR="0075449F" w:rsidRPr="00BE4949">
              <w:rPr>
                <w:rFonts w:ascii="Verdana" w:hAnsi="Verdana"/>
              </w:rPr>
              <w:t xml:space="preserve"> an account can be opened from the US.</w:t>
            </w:r>
            <w:r w:rsidR="00D93F88">
              <w:rPr>
                <w:rFonts w:ascii="Verdana" w:hAnsi="Verdana"/>
              </w:rPr>
              <w:t xml:space="preserve"> </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Mandate agreement</w:t>
            </w:r>
          </w:p>
        </w:tc>
        <w:tc>
          <w:tcPr>
            <w:tcW w:w="3022" w:type="pct"/>
            <w:tcBorders>
              <w:right w:val="single" w:sz="4" w:space="0" w:color="auto"/>
            </w:tcBorders>
            <w:vAlign w:val="center"/>
          </w:tcPr>
          <w:p w:rsidR="0075449F" w:rsidRPr="00BE4949" w:rsidRDefault="00795771" w:rsidP="00AB1BF2">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Your Swiss SEC RIA provides you with the necessary mandate agreement to be signed.</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rsidP="00AB1BF2">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Account opening formalities</w:t>
            </w:r>
          </w:p>
        </w:tc>
        <w:tc>
          <w:tcPr>
            <w:tcW w:w="3022" w:type="pct"/>
            <w:tcBorders>
              <w:right w:val="single" w:sz="4" w:space="0" w:color="auto"/>
            </w:tcBorders>
            <w:vAlign w:val="center"/>
          </w:tcPr>
          <w:p w:rsidR="0075449F" w:rsidRPr="00BE4949" w:rsidRDefault="00795771" w:rsidP="00EC1727">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Your Swiss SEC RIA provides the necessary paperwork to open your a</w:t>
            </w:r>
            <w:r w:rsidR="00EC1727">
              <w:rPr>
                <w:rFonts w:ascii="Verdana" w:hAnsi="Verdana"/>
              </w:rPr>
              <w:t xml:space="preserve">ccount with the custodian bank </w:t>
            </w:r>
            <w:r w:rsidR="0075449F" w:rsidRPr="00BE4949">
              <w:rPr>
                <w:rFonts w:ascii="Verdana" w:hAnsi="Verdana"/>
              </w:rPr>
              <w:t>and explains and walks you through the formalities, either over the phone or in person.</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rsidP="00AB1BF2">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Get required documents</w:t>
            </w:r>
          </w:p>
        </w:tc>
        <w:tc>
          <w:tcPr>
            <w:tcW w:w="3022" w:type="pct"/>
            <w:tcBorders>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Organize the documents you need for the account opening formalities, e.g. notarized passport copy etc.</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pPr>
              <w:rPr>
                <w:rFonts w:ascii="Verdana" w:hAnsi="Verdana"/>
              </w:rPr>
            </w:pPr>
          </w:p>
        </w:tc>
      </w:tr>
      <w:tr w:rsidR="009A752B" w:rsidRPr="00BE4949">
        <w:tc>
          <w:tcPr>
            <w:tcW w:w="1666" w:type="pct"/>
            <w:tcBorders>
              <w:bottom w:val="single" w:sz="4" w:space="0" w:color="FF0000"/>
            </w:tcBorders>
            <w:vAlign w:val="center"/>
          </w:tcPr>
          <w:p w:rsidR="009A752B" w:rsidRPr="00B44547" w:rsidRDefault="009A752B">
            <w:pPr>
              <w:rPr>
                <w:rFonts w:ascii="Verdana" w:hAnsi="Verdana"/>
                <w:b/>
              </w:rPr>
            </w:pPr>
            <w:r w:rsidRPr="00B44547">
              <w:rPr>
                <w:rFonts w:ascii="Verdana" w:hAnsi="Verdana"/>
                <w:b/>
              </w:rPr>
              <w:t>Submit your account opening forms and documents</w:t>
            </w:r>
          </w:p>
        </w:tc>
        <w:tc>
          <w:tcPr>
            <w:tcW w:w="3022" w:type="pct"/>
            <w:tcBorders>
              <w:bottom w:val="single" w:sz="4" w:space="0" w:color="FF0000"/>
              <w:right w:val="single" w:sz="4" w:space="0" w:color="auto"/>
            </w:tcBorders>
            <w:vAlign w:val="center"/>
          </w:tcPr>
          <w:p w:rsidR="009A752B"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9A752B">
              <w:rPr>
                <w:rFonts w:ascii="Verdana" w:hAnsi="Verdana"/>
              </w:rPr>
              <w:t>Submit your forms and documents to your Swiss SEC RIA who checks them for accuracy and passes them to the custodian bank.</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9A752B" w:rsidRPr="00BE4949" w:rsidRDefault="009A752B">
            <w:pPr>
              <w:rPr>
                <w:rFonts w:ascii="Verdana" w:hAnsi="Verdana"/>
              </w:rPr>
            </w:pPr>
          </w:p>
        </w:tc>
      </w:tr>
      <w:tr w:rsidR="0075449F" w:rsidRPr="00BE4949">
        <w:tc>
          <w:tcPr>
            <w:tcW w:w="1666" w:type="pct"/>
            <w:tcBorders>
              <w:bottom w:val="single" w:sz="4" w:space="0" w:color="FF0000"/>
            </w:tcBorders>
            <w:vAlign w:val="center"/>
          </w:tcPr>
          <w:p w:rsidR="0075449F" w:rsidRPr="00B44547" w:rsidRDefault="0075449F">
            <w:pPr>
              <w:rPr>
                <w:rFonts w:ascii="Verdana" w:hAnsi="Verdana"/>
                <w:b/>
              </w:rPr>
            </w:pPr>
            <w:r w:rsidRPr="00B44547">
              <w:rPr>
                <w:rFonts w:ascii="Verdana" w:hAnsi="Verdana"/>
                <w:b/>
              </w:rPr>
              <w:t>Monitor account opening process</w:t>
            </w:r>
          </w:p>
        </w:tc>
        <w:tc>
          <w:tcPr>
            <w:tcW w:w="3022" w:type="pct"/>
            <w:tcBorders>
              <w:bottom w:val="single" w:sz="4" w:space="0" w:color="FF0000"/>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Your Swiss SEC RIA monitors the account opening process and gets back to you if additional information is required.</w:t>
            </w:r>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pPr>
              <w:rPr>
                <w:rFonts w:ascii="Verdana" w:hAnsi="Verdana"/>
              </w:rPr>
            </w:pPr>
          </w:p>
        </w:tc>
      </w:tr>
      <w:tr w:rsidR="0075449F" w:rsidRPr="00BE4949">
        <w:tc>
          <w:tcPr>
            <w:tcW w:w="1666" w:type="pct"/>
            <w:tcBorders>
              <w:top w:val="single" w:sz="4" w:space="0" w:color="FF0000"/>
              <w:left w:val="single" w:sz="4" w:space="0" w:color="FF0000"/>
              <w:bottom w:val="single" w:sz="4" w:space="0" w:color="FF0000"/>
              <w:right w:val="single" w:sz="4" w:space="0" w:color="FF0000"/>
            </w:tcBorders>
            <w:vAlign w:val="center"/>
          </w:tcPr>
          <w:p w:rsidR="0075449F" w:rsidRPr="00B44547" w:rsidRDefault="0075449F">
            <w:pPr>
              <w:rPr>
                <w:rFonts w:ascii="Verdana" w:hAnsi="Verdana"/>
                <w:b/>
              </w:rPr>
            </w:pPr>
            <w:r w:rsidRPr="00B44547">
              <w:rPr>
                <w:rFonts w:ascii="Verdana" w:hAnsi="Verdana"/>
                <w:b/>
              </w:rPr>
              <w:t>Confirm establishment of account</w:t>
            </w:r>
          </w:p>
        </w:tc>
        <w:tc>
          <w:tcPr>
            <w:tcW w:w="3022" w:type="pct"/>
            <w:tcBorders>
              <w:top w:val="single" w:sz="4" w:space="0" w:color="FF0000"/>
              <w:left w:val="single" w:sz="4" w:space="0" w:color="FF0000"/>
              <w:bottom w:val="single" w:sz="4" w:space="0" w:color="FF0000"/>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Your Swiss SEC RIA confirms the date your account has been established and provides you with the documents.</w:t>
            </w:r>
          </w:p>
        </w:tc>
        <w:tc>
          <w:tcPr>
            <w:tcW w:w="311" w:type="pct"/>
            <w:tcBorders>
              <w:top w:val="single" w:sz="4" w:space="0" w:color="auto"/>
              <w:left w:val="single" w:sz="4" w:space="0" w:color="auto"/>
              <w:bottom w:val="single" w:sz="4" w:space="0" w:color="auto"/>
              <w:right w:val="single" w:sz="4" w:space="0" w:color="auto"/>
            </w:tcBorders>
            <w:vAlign w:val="center"/>
          </w:tcPr>
          <w:p w:rsidR="0075449F" w:rsidRPr="00BE4949" w:rsidRDefault="0075449F">
            <w:pPr>
              <w:rPr>
                <w:rFonts w:ascii="Verdana" w:hAnsi="Verdana"/>
              </w:rPr>
            </w:pPr>
          </w:p>
        </w:tc>
      </w:tr>
      <w:tr w:rsidR="0075449F" w:rsidRPr="00BE4949">
        <w:tc>
          <w:tcPr>
            <w:tcW w:w="1666" w:type="pct"/>
            <w:tcBorders>
              <w:top w:val="single" w:sz="4" w:space="0" w:color="FF0000"/>
              <w:left w:val="single" w:sz="4" w:space="0" w:color="FF0000"/>
              <w:bottom w:val="single" w:sz="4" w:space="0" w:color="FF0000"/>
              <w:right w:val="single" w:sz="4" w:space="0" w:color="FF0000"/>
            </w:tcBorders>
            <w:vAlign w:val="center"/>
          </w:tcPr>
          <w:p w:rsidR="0075449F" w:rsidRPr="00B44547" w:rsidRDefault="0075449F">
            <w:pPr>
              <w:rPr>
                <w:rFonts w:ascii="Verdana" w:hAnsi="Verdana"/>
                <w:b/>
              </w:rPr>
            </w:pPr>
            <w:r w:rsidRPr="00B44547">
              <w:rPr>
                <w:rFonts w:ascii="Verdana" w:hAnsi="Verdana"/>
                <w:b/>
              </w:rPr>
              <w:t>Transfer funds to your account</w:t>
            </w:r>
          </w:p>
        </w:tc>
        <w:tc>
          <w:tcPr>
            <w:tcW w:w="3022" w:type="pct"/>
            <w:tcBorders>
              <w:top w:val="single" w:sz="4" w:space="0" w:color="FF0000"/>
              <w:left w:val="single" w:sz="4" w:space="0" w:color="FF0000"/>
              <w:bottom w:val="single" w:sz="4" w:space="0" w:color="FF0000"/>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Your Swiss SEC RIA provides you with wire transfer instructions to your account with the custodian bank. You instruct your present bank to make the transfer accordingly.</w:t>
            </w:r>
          </w:p>
        </w:tc>
        <w:tc>
          <w:tcPr>
            <w:tcW w:w="311" w:type="pct"/>
            <w:tcBorders>
              <w:top w:val="single" w:sz="4" w:space="0" w:color="auto"/>
              <w:left w:val="single" w:sz="4" w:space="0" w:color="auto"/>
              <w:bottom w:val="single" w:sz="4" w:space="0" w:color="auto"/>
              <w:right w:val="single" w:sz="4" w:space="0" w:color="auto"/>
            </w:tcBorders>
            <w:vAlign w:val="center"/>
          </w:tcPr>
          <w:p w:rsidR="0075449F" w:rsidRPr="00BE4949" w:rsidRDefault="0075449F">
            <w:pPr>
              <w:rPr>
                <w:rFonts w:ascii="Verdana" w:hAnsi="Verdana"/>
              </w:rPr>
            </w:pPr>
          </w:p>
        </w:tc>
      </w:tr>
      <w:tr w:rsidR="0075449F" w:rsidRPr="00BE4949">
        <w:tc>
          <w:tcPr>
            <w:tcW w:w="1666" w:type="pct"/>
            <w:tcBorders>
              <w:top w:val="single" w:sz="4" w:space="0" w:color="FF0000"/>
              <w:left w:val="single" w:sz="4" w:space="0" w:color="FF0000"/>
              <w:bottom w:val="single" w:sz="4" w:space="0" w:color="FF0000"/>
              <w:right w:val="single" w:sz="4" w:space="0" w:color="FF0000"/>
            </w:tcBorders>
            <w:vAlign w:val="center"/>
          </w:tcPr>
          <w:p w:rsidR="0075449F" w:rsidRPr="00B44547" w:rsidRDefault="0075449F">
            <w:pPr>
              <w:rPr>
                <w:rFonts w:ascii="Verdana" w:hAnsi="Verdana"/>
                <w:b/>
              </w:rPr>
            </w:pPr>
            <w:r w:rsidRPr="00B44547">
              <w:rPr>
                <w:rFonts w:ascii="Verdana" w:hAnsi="Verdana"/>
                <w:b/>
              </w:rPr>
              <w:t>Monitoring/rebalancing your portfolio</w:t>
            </w:r>
          </w:p>
        </w:tc>
        <w:tc>
          <w:tcPr>
            <w:tcW w:w="3022" w:type="pct"/>
            <w:tcBorders>
              <w:top w:val="single" w:sz="4" w:space="0" w:color="FF0000"/>
              <w:left w:val="single" w:sz="4" w:space="0" w:color="FF0000"/>
              <w:bottom w:val="single" w:sz="4" w:space="0" w:color="FF0000"/>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Your Swiss SEC RIA monitor</w:t>
            </w:r>
            <w:r w:rsidR="009A752B">
              <w:rPr>
                <w:rFonts w:ascii="Verdana" w:hAnsi="Verdana"/>
              </w:rPr>
              <w:t xml:space="preserve">s </w:t>
            </w:r>
            <w:r w:rsidR="0075449F" w:rsidRPr="00BE4949">
              <w:rPr>
                <w:rFonts w:ascii="Verdana" w:hAnsi="Verdana"/>
              </w:rPr>
              <w:t xml:space="preserve">and rebalances your </w:t>
            </w:r>
            <w:proofErr w:type="gramStart"/>
            <w:r w:rsidR="0075449F" w:rsidRPr="00BE4949">
              <w:rPr>
                <w:rFonts w:ascii="Verdana" w:hAnsi="Verdana"/>
              </w:rPr>
              <w:t>portfolio,</w:t>
            </w:r>
            <w:proofErr w:type="gramEnd"/>
            <w:r w:rsidR="0075449F" w:rsidRPr="00BE4949">
              <w:rPr>
                <w:rFonts w:ascii="Verdana" w:hAnsi="Verdana"/>
              </w:rPr>
              <w:t xml:space="preserve"> provides reporting and discusses details with you regularly.</w:t>
            </w:r>
          </w:p>
        </w:tc>
        <w:tc>
          <w:tcPr>
            <w:tcW w:w="311" w:type="pct"/>
            <w:tcBorders>
              <w:top w:val="single" w:sz="4" w:space="0" w:color="auto"/>
              <w:left w:val="single" w:sz="4" w:space="0" w:color="auto"/>
              <w:bottom w:val="single" w:sz="4" w:space="0" w:color="auto"/>
              <w:right w:val="single" w:sz="4" w:space="0" w:color="auto"/>
            </w:tcBorders>
            <w:vAlign w:val="center"/>
          </w:tcPr>
          <w:p w:rsidR="0075449F" w:rsidRPr="00BE4949" w:rsidRDefault="0075449F">
            <w:pPr>
              <w:rPr>
                <w:rFonts w:ascii="Verdana" w:hAnsi="Verdana"/>
              </w:rPr>
            </w:pPr>
          </w:p>
        </w:tc>
      </w:tr>
      <w:tr w:rsidR="0075449F" w:rsidRPr="00BE4949">
        <w:tc>
          <w:tcPr>
            <w:tcW w:w="1666" w:type="pct"/>
            <w:tcBorders>
              <w:top w:val="single" w:sz="4" w:space="0" w:color="FF0000"/>
              <w:left w:val="single" w:sz="4" w:space="0" w:color="FF0000"/>
              <w:bottom w:val="single" w:sz="4" w:space="0" w:color="FF0000"/>
              <w:right w:val="single" w:sz="4" w:space="0" w:color="FF0000"/>
            </w:tcBorders>
            <w:vAlign w:val="center"/>
          </w:tcPr>
          <w:p w:rsidR="0075449F" w:rsidRPr="00B44547" w:rsidRDefault="0075449F">
            <w:pPr>
              <w:rPr>
                <w:rFonts w:ascii="Verdana" w:hAnsi="Verdana"/>
                <w:b/>
              </w:rPr>
            </w:pPr>
            <w:r w:rsidRPr="00B44547">
              <w:rPr>
                <w:rFonts w:ascii="Verdana" w:hAnsi="Verdana"/>
                <w:b/>
              </w:rPr>
              <w:t>FATCA reporting</w:t>
            </w:r>
          </w:p>
        </w:tc>
        <w:tc>
          <w:tcPr>
            <w:tcW w:w="3022" w:type="pct"/>
            <w:tcBorders>
              <w:top w:val="single" w:sz="4" w:space="0" w:color="FF0000"/>
              <w:left w:val="single" w:sz="4" w:space="0" w:color="FF0000"/>
              <w:bottom w:val="single" w:sz="4" w:space="0" w:color="FF0000"/>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The custodian bank is responsible for reporting your account details to the IRS</w:t>
            </w:r>
            <w:r w:rsidR="009A752B">
              <w:rPr>
                <w:rFonts w:ascii="Verdana" w:hAnsi="Verdana"/>
              </w:rPr>
              <w:t xml:space="preserve"> under FATCA regulations.</w:t>
            </w:r>
          </w:p>
        </w:tc>
        <w:tc>
          <w:tcPr>
            <w:tcW w:w="311" w:type="pct"/>
            <w:tcBorders>
              <w:top w:val="single" w:sz="4" w:space="0" w:color="auto"/>
              <w:left w:val="single" w:sz="4" w:space="0" w:color="auto"/>
              <w:bottom w:val="single" w:sz="4" w:space="0" w:color="auto"/>
              <w:right w:val="single" w:sz="4" w:space="0" w:color="auto"/>
            </w:tcBorders>
            <w:vAlign w:val="center"/>
          </w:tcPr>
          <w:p w:rsidR="0075449F" w:rsidRPr="00BE4949" w:rsidRDefault="0075449F">
            <w:pPr>
              <w:rPr>
                <w:rFonts w:ascii="Verdana" w:hAnsi="Verdana"/>
              </w:rPr>
            </w:pPr>
          </w:p>
        </w:tc>
      </w:tr>
      <w:tr w:rsidR="0075449F" w:rsidRPr="00BE4949">
        <w:tc>
          <w:tcPr>
            <w:tcW w:w="1666" w:type="pct"/>
            <w:tcBorders>
              <w:top w:val="single" w:sz="4" w:space="0" w:color="FF0000"/>
              <w:left w:val="single" w:sz="4" w:space="0" w:color="FF0000"/>
              <w:bottom w:val="single" w:sz="4" w:space="0" w:color="FF0000"/>
              <w:right w:val="single" w:sz="4" w:space="0" w:color="FF0000"/>
            </w:tcBorders>
            <w:vAlign w:val="center"/>
          </w:tcPr>
          <w:p w:rsidR="0075449F" w:rsidRPr="00B44547" w:rsidRDefault="0075449F">
            <w:pPr>
              <w:rPr>
                <w:rFonts w:ascii="Verdana" w:hAnsi="Verdana"/>
                <w:b/>
              </w:rPr>
            </w:pPr>
            <w:r w:rsidRPr="00B44547">
              <w:rPr>
                <w:rFonts w:ascii="Verdana" w:hAnsi="Verdana"/>
                <w:b/>
              </w:rPr>
              <w:t>Your reporting requirements</w:t>
            </w:r>
          </w:p>
        </w:tc>
        <w:tc>
          <w:tcPr>
            <w:tcW w:w="3022" w:type="pct"/>
            <w:tcBorders>
              <w:top w:val="single" w:sz="4" w:space="0" w:color="FF0000"/>
              <w:left w:val="single" w:sz="4" w:space="0" w:color="FF0000"/>
              <w:bottom w:val="single" w:sz="4" w:space="0" w:color="FF0000"/>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 xml:space="preserve">The custodian bank provides the documents needed for you to fulfill all reporting requirements. </w:t>
            </w:r>
            <w:r w:rsidR="009A752B">
              <w:rPr>
                <w:rFonts w:ascii="Verdana" w:hAnsi="Verdana"/>
              </w:rPr>
              <w:t xml:space="preserve">Your Swiss SEC RIA will pass them on to you. </w:t>
            </w:r>
            <w:r w:rsidR="0075449F" w:rsidRPr="00BE4949">
              <w:rPr>
                <w:rFonts w:ascii="Verdana" w:hAnsi="Verdana"/>
              </w:rPr>
              <w:t xml:space="preserve">Read </w:t>
            </w:r>
            <w:hyperlink r:id="rId7" w:history="1">
              <w:r w:rsidR="0075449F" w:rsidRPr="00BE4949">
                <w:rPr>
                  <w:rStyle w:val="Hyperlink"/>
                  <w:rFonts w:ascii="Verdana" w:hAnsi="Verdana"/>
                </w:rPr>
                <w:t>“Reporting requirements”</w:t>
              </w:r>
            </w:hyperlink>
            <w:r w:rsidR="0075449F" w:rsidRPr="00BE4949">
              <w:rPr>
                <w:rFonts w:ascii="Verdana" w:hAnsi="Verdana"/>
              </w:rPr>
              <w:t>.</w:t>
            </w:r>
          </w:p>
        </w:tc>
        <w:tc>
          <w:tcPr>
            <w:tcW w:w="311" w:type="pct"/>
            <w:tcBorders>
              <w:top w:val="single" w:sz="4" w:space="0" w:color="auto"/>
              <w:left w:val="single" w:sz="4" w:space="0" w:color="auto"/>
              <w:bottom w:val="single" w:sz="4" w:space="0" w:color="auto"/>
              <w:right w:val="single" w:sz="4" w:space="0" w:color="auto"/>
            </w:tcBorders>
            <w:vAlign w:val="center"/>
          </w:tcPr>
          <w:p w:rsidR="0075449F" w:rsidRPr="00BE4949" w:rsidRDefault="0075449F">
            <w:pPr>
              <w:rPr>
                <w:rFonts w:ascii="Verdana" w:hAnsi="Verdana"/>
              </w:rPr>
            </w:pPr>
          </w:p>
        </w:tc>
      </w:tr>
      <w:tr w:rsidR="0075449F" w:rsidRPr="00BE4949">
        <w:tc>
          <w:tcPr>
            <w:tcW w:w="1666" w:type="pct"/>
            <w:tcBorders>
              <w:top w:val="single" w:sz="4" w:space="0" w:color="FF0000"/>
            </w:tcBorders>
            <w:vAlign w:val="center"/>
          </w:tcPr>
          <w:p w:rsidR="0075449F" w:rsidRPr="00B44547" w:rsidRDefault="0075449F">
            <w:pPr>
              <w:rPr>
                <w:rFonts w:ascii="Verdana" w:hAnsi="Verdana"/>
                <w:b/>
              </w:rPr>
            </w:pPr>
            <w:r w:rsidRPr="00B44547">
              <w:rPr>
                <w:rFonts w:ascii="Verdana" w:hAnsi="Verdana"/>
                <w:b/>
              </w:rPr>
              <w:t>Paying taxes</w:t>
            </w:r>
          </w:p>
        </w:tc>
        <w:tc>
          <w:tcPr>
            <w:tcW w:w="3022" w:type="pct"/>
            <w:tcBorders>
              <w:top w:val="single" w:sz="4" w:space="0" w:color="FF0000"/>
              <w:right w:val="single" w:sz="4" w:space="0" w:color="auto"/>
            </w:tcBorders>
            <w:vAlign w:val="center"/>
          </w:tcPr>
          <w:p w:rsidR="0075449F" w:rsidRPr="00BE4949" w:rsidRDefault="00795771">
            <w:pPr>
              <w:rPr>
                <w:rFonts w:ascii="Verdana" w:hAnsi="Verdana"/>
              </w:rPr>
            </w:pPr>
            <w:r w:rsidRPr="00EB1C49">
              <w:rPr>
                <w:rFonts w:ascii="Zapf Dingbats" w:hAnsi="Zapf Dingbats"/>
                <w:color w:val="FF0000"/>
              </w:rPr>
              <w:t>Ü</w:t>
            </w:r>
            <w:r>
              <w:rPr>
                <w:rFonts w:ascii="Zapf Dingbats" w:hAnsi="Zapf Dingbats"/>
                <w:color w:val="FF0000"/>
              </w:rPr>
              <w:t></w:t>
            </w:r>
            <w:r w:rsidR="0075449F" w:rsidRPr="00BE4949">
              <w:rPr>
                <w:rFonts w:ascii="Verdana" w:hAnsi="Verdana"/>
              </w:rPr>
              <w:t>You will pay taxes due accordingly.</w:t>
            </w:r>
          </w:p>
        </w:tc>
        <w:tc>
          <w:tcPr>
            <w:tcW w:w="311" w:type="pct"/>
            <w:tcBorders>
              <w:top w:val="single" w:sz="4" w:space="0" w:color="auto"/>
              <w:left w:val="single" w:sz="4" w:space="0" w:color="auto"/>
              <w:bottom w:val="single" w:sz="4" w:space="0" w:color="auto"/>
              <w:right w:val="single" w:sz="4" w:space="0" w:color="auto"/>
            </w:tcBorders>
            <w:vAlign w:val="center"/>
          </w:tcPr>
          <w:p w:rsidR="0075449F" w:rsidRPr="00BE4949" w:rsidRDefault="0075449F">
            <w:pPr>
              <w:rPr>
                <w:rFonts w:ascii="Verdana" w:hAnsi="Verdana"/>
              </w:rPr>
            </w:pPr>
          </w:p>
        </w:tc>
      </w:tr>
      <w:tr w:rsidR="0075449F" w:rsidRPr="00BE4949">
        <w:tc>
          <w:tcPr>
            <w:tcW w:w="1666" w:type="pct"/>
            <w:vAlign w:val="center"/>
          </w:tcPr>
          <w:p w:rsidR="0075449F" w:rsidRPr="00B44547" w:rsidRDefault="0075449F">
            <w:pPr>
              <w:rPr>
                <w:rFonts w:ascii="Verdana" w:hAnsi="Verdana"/>
                <w:b/>
              </w:rPr>
            </w:pPr>
            <w:r w:rsidRPr="00B44547">
              <w:rPr>
                <w:rFonts w:ascii="Verdana" w:hAnsi="Verdana"/>
                <w:b/>
              </w:rPr>
              <w:t>Consult a tax adviser</w:t>
            </w:r>
          </w:p>
        </w:tc>
        <w:tc>
          <w:tcPr>
            <w:tcW w:w="3022" w:type="pct"/>
            <w:tcBorders>
              <w:right w:val="single" w:sz="4" w:space="0" w:color="auto"/>
            </w:tcBorders>
            <w:vAlign w:val="center"/>
          </w:tcPr>
          <w:p w:rsidR="0075449F" w:rsidRPr="00BE4949" w:rsidRDefault="00795771" w:rsidP="00D63F70">
            <w:pPr>
              <w:rPr>
                <w:rFonts w:ascii="Verdana" w:hAnsi="Verdana"/>
              </w:rPr>
            </w:pPr>
            <w:r w:rsidRPr="00EB1C49">
              <w:rPr>
                <w:rFonts w:ascii="Zapf Dingbats" w:hAnsi="Zapf Dingbats"/>
                <w:color w:val="FF0000"/>
              </w:rPr>
              <w:t>Ü</w:t>
            </w:r>
            <w:r>
              <w:rPr>
                <w:rFonts w:ascii="Zapf Dingbats" w:hAnsi="Zapf Dingbats"/>
                <w:color w:val="FF0000"/>
              </w:rPr>
              <w:t></w:t>
            </w:r>
            <w:r w:rsidR="009A752B">
              <w:rPr>
                <w:rFonts w:ascii="Verdana" w:hAnsi="Verdana"/>
              </w:rPr>
              <w:t xml:space="preserve">You can consult </w:t>
            </w:r>
            <w:r w:rsidR="0075449F" w:rsidRPr="00BE4949">
              <w:rPr>
                <w:rFonts w:ascii="Verdana" w:hAnsi="Verdana"/>
              </w:rPr>
              <w:t>an experienced, Swiss-based US tax adviser and involve your local, tax expert, if required.</w:t>
            </w:r>
            <w:r w:rsidR="009A752B">
              <w:rPr>
                <w:rFonts w:ascii="Verdana" w:hAnsi="Verdana"/>
              </w:rPr>
              <w:t xml:space="preserve"> See </w:t>
            </w:r>
            <w:hyperlink r:id="rId8" w:history="1">
              <w:r w:rsidR="00D63F70" w:rsidRPr="00D63F70">
                <w:rPr>
                  <w:rStyle w:val="Hyperlink"/>
                </w:rPr>
                <w:t>“Tax advisers”</w:t>
              </w:r>
            </w:hyperlink>
          </w:p>
        </w:tc>
        <w:tc>
          <w:tcPr>
            <w:tcW w:w="311" w:type="pct"/>
            <w:tcBorders>
              <w:top w:val="single" w:sz="4" w:space="0" w:color="auto"/>
              <w:left w:val="single" w:sz="4" w:space="0" w:color="auto"/>
              <w:bottom w:val="single" w:sz="4" w:space="0" w:color="auto"/>
              <w:right w:val="single" w:sz="4" w:space="0" w:color="000000" w:themeColor="text1"/>
            </w:tcBorders>
            <w:vAlign w:val="center"/>
          </w:tcPr>
          <w:p w:rsidR="0075449F" w:rsidRPr="00BE4949" w:rsidRDefault="0075449F">
            <w:pPr>
              <w:rPr>
                <w:rFonts w:ascii="Verdana" w:hAnsi="Verdana"/>
              </w:rPr>
            </w:pPr>
          </w:p>
        </w:tc>
      </w:tr>
    </w:tbl>
    <w:p w:rsidR="00C65025" w:rsidRPr="00104094" w:rsidRDefault="00104094">
      <w:pPr>
        <w:rPr>
          <w:rFonts w:ascii="Verdana" w:hAnsi="Verdana"/>
          <w:b/>
        </w:rPr>
      </w:pPr>
      <w:r w:rsidRPr="00104094">
        <w:rPr>
          <w:rFonts w:ascii="Verdana" w:hAnsi="Verdana"/>
          <w:b/>
        </w:rPr>
        <w:t>Your notes:</w:t>
      </w:r>
    </w:p>
    <w:sectPr w:rsidR="00C65025" w:rsidRPr="00104094" w:rsidSect="00255228">
      <w:headerReference w:type="default" r:id="rId9"/>
      <w:footerReference w:type="even" r:id="rId10"/>
      <w:footerReference w:type="default" r:id="rId11"/>
      <w:pgSz w:w="16838" w:h="11899" w:orient="landscape"/>
      <w:pgMar w:top="1800" w:right="1440" w:bottom="1800" w:left="1440" w:header="708" w:footer="708" w:gutter="0"/>
      <w:cols w:space="708"/>
      <w:printerSettings r:id="rId12"/>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727" w:rsidRDefault="00A92E00" w:rsidP="000A32E3">
    <w:pPr>
      <w:pStyle w:val="Footer"/>
      <w:framePr w:wrap="around" w:vAnchor="text" w:hAnchor="margin" w:xAlign="right" w:y="1"/>
      <w:rPr>
        <w:rStyle w:val="PageNumber"/>
      </w:rPr>
    </w:pPr>
    <w:r>
      <w:rPr>
        <w:rStyle w:val="PageNumber"/>
      </w:rPr>
      <w:fldChar w:fldCharType="begin"/>
    </w:r>
    <w:r w:rsidR="00EC1727">
      <w:rPr>
        <w:rStyle w:val="PageNumber"/>
      </w:rPr>
      <w:instrText xml:space="preserve">PAGE  </w:instrText>
    </w:r>
    <w:r>
      <w:rPr>
        <w:rStyle w:val="PageNumber"/>
      </w:rPr>
      <w:fldChar w:fldCharType="end"/>
    </w:r>
  </w:p>
  <w:p w:rsidR="00EC1727" w:rsidRDefault="00EC1727" w:rsidP="000A32E3">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727" w:rsidRDefault="00A92E00" w:rsidP="000A32E3">
    <w:pPr>
      <w:pStyle w:val="Footer"/>
      <w:framePr w:wrap="around" w:vAnchor="text" w:hAnchor="margin" w:xAlign="right" w:y="1"/>
      <w:rPr>
        <w:rStyle w:val="PageNumber"/>
      </w:rPr>
    </w:pPr>
    <w:r>
      <w:rPr>
        <w:rStyle w:val="PageNumber"/>
      </w:rPr>
      <w:fldChar w:fldCharType="begin"/>
    </w:r>
    <w:r w:rsidR="00EC1727">
      <w:rPr>
        <w:rStyle w:val="PageNumber"/>
      </w:rPr>
      <w:instrText xml:space="preserve">PAGE  </w:instrText>
    </w:r>
    <w:r>
      <w:rPr>
        <w:rStyle w:val="PageNumber"/>
      </w:rPr>
      <w:fldChar w:fldCharType="separate"/>
    </w:r>
    <w:r w:rsidR="005776C6">
      <w:rPr>
        <w:rStyle w:val="PageNumber"/>
        <w:noProof/>
      </w:rPr>
      <w:t>1</w:t>
    </w:r>
    <w:r>
      <w:rPr>
        <w:rStyle w:val="PageNumber"/>
      </w:rPr>
      <w:fldChar w:fldCharType="end"/>
    </w:r>
  </w:p>
  <w:p w:rsidR="00EC1727" w:rsidRDefault="00EC1727" w:rsidP="000A32E3">
    <w:pPr>
      <w:pStyle w:val="Footer"/>
      <w:ind w:right="360"/>
    </w:pPr>
  </w:p>
  <w:p w:rsidR="00EC1727" w:rsidRDefault="00EC1727" w:rsidP="000A32E3">
    <w:pPr>
      <w:pStyle w:val="Footer"/>
      <w:ind w:right="360"/>
    </w:pPr>
  </w:p>
  <w:p w:rsidR="00EC1727" w:rsidRPr="0058024B" w:rsidRDefault="00EC1727" w:rsidP="000A32E3">
    <w:pPr>
      <w:pStyle w:val="Footer"/>
      <w:ind w:right="360"/>
      <w:rPr>
        <w:sz w:val="20"/>
      </w:rPr>
    </w:pPr>
    <w:r w:rsidRPr="0058024B">
      <w:rPr>
        <w:sz w:val="20"/>
      </w:rPr>
      <w:t>WHERE AMERICANS ARE WELCOME (WAAW)</w:t>
    </w:r>
  </w:p>
  <w:p w:rsidR="00EC1727" w:rsidRPr="0058024B" w:rsidRDefault="00EC1727" w:rsidP="000A32E3">
    <w:pPr>
      <w:pStyle w:val="Footer"/>
      <w:ind w:right="360"/>
      <w:rPr>
        <w:sz w:val="20"/>
      </w:rPr>
    </w:pPr>
    <w:r w:rsidRPr="0058024B">
      <w:rPr>
        <w:sz w:val="20"/>
      </w:rPr>
      <w:t>This cheat</w:t>
    </w:r>
    <w:r>
      <w:rPr>
        <w:sz w:val="20"/>
      </w:rPr>
      <w:t xml:space="preserve"> </w:t>
    </w:r>
    <w:r w:rsidRPr="0058024B">
      <w:rPr>
        <w:sz w:val="20"/>
      </w:rPr>
      <w:t>sheet is for informational purposes only, may change, and does not include every single step and every detail in getting your account established with a Swiss custodian bank or a relationship established with your Swiss SEC RIA. It does not constitute an offering for any particular Swiss SEC RIA, custodian bank, investment strategy or product. WAAW is not in the position to provide tax suggestions or advice and you must consult with a tax expert.</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727" w:rsidRDefault="00EC1727" w:rsidP="00BE4949">
    <w:pPr>
      <w:rPr>
        <w:b/>
        <w:sz w:val="28"/>
      </w:rPr>
    </w:pPr>
    <w:r>
      <w:rPr>
        <w:b/>
        <w:noProof/>
        <w:sz w:val="28"/>
      </w:rPr>
      <w:drawing>
        <wp:anchor distT="0" distB="0" distL="114300" distR="114300" simplePos="0" relativeHeight="251658240" behindDoc="0" locked="0" layoutInCell="1" allowOverlap="1">
          <wp:simplePos x="0" y="0"/>
          <wp:positionH relativeFrom="column">
            <wp:posOffset>25400</wp:posOffset>
          </wp:positionH>
          <wp:positionV relativeFrom="paragraph">
            <wp:posOffset>-5080</wp:posOffset>
          </wp:positionV>
          <wp:extent cx="660400" cy="660400"/>
          <wp:effectExtent l="25400" t="0" r="0" b="0"/>
          <wp:wrapSquare wrapText="bothSides"/>
          <wp:docPr id="2" name="" descr=":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jpeg"/>
                  <pic:cNvPicPr>
                    <a:picLocks noChangeAspect="1" noChangeArrowheads="1"/>
                  </pic:cNvPicPr>
                </pic:nvPicPr>
                <pic:blipFill>
                  <a:blip r:embed="rId1"/>
                  <a:srcRect/>
                  <a:stretch>
                    <a:fillRect/>
                  </a:stretch>
                </pic:blipFill>
                <pic:spPr bwMode="auto">
                  <a:xfrm>
                    <a:off x="0" y="0"/>
                    <a:ext cx="660400" cy="660400"/>
                  </a:xfrm>
                  <a:prstGeom prst="rect">
                    <a:avLst/>
                  </a:prstGeom>
                  <a:noFill/>
                  <a:ln w="9525">
                    <a:noFill/>
                    <a:miter lim="800000"/>
                    <a:headEnd/>
                    <a:tailEnd/>
                  </a:ln>
                </pic:spPr>
              </pic:pic>
            </a:graphicData>
          </a:graphic>
        </wp:anchor>
      </w:drawing>
    </w:r>
    <w:r>
      <w:rPr>
        <w:b/>
        <w:sz w:val="28"/>
      </w:rPr>
      <w:tab/>
    </w:r>
    <w:r>
      <w:rPr>
        <w:b/>
        <w:sz w:val="28"/>
      </w:rPr>
      <w:tab/>
    </w:r>
  </w:p>
  <w:p w:rsidR="00EC1727" w:rsidRDefault="00EC1727" w:rsidP="0075449F">
    <w:pPr>
      <w:ind w:left="720" w:firstLine="720"/>
      <w:rPr>
        <w:b/>
        <w:sz w:val="28"/>
      </w:rPr>
    </w:pPr>
    <w:r w:rsidRPr="000A32E3">
      <w:rPr>
        <w:b/>
        <w:sz w:val="28"/>
      </w:rPr>
      <w:t>Cheat</w:t>
    </w:r>
    <w:r>
      <w:rPr>
        <w:b/>
        <w:sz w:val="28"/>
      </w:rPr>
      <w:t xml:space="preserve"> S</w:t>
    </w:r>
    <w:r w:rsidRPr="000A32E3">
      <w:rPr>
        <w:b/>
        <w:sz w:val="28"/>
      </w:rPr>
      <w:t xml:space="preserve">heet – How to get started in Switzerland </w:t>
    </w:r>
  </w:p>
  <w:p w:rsidR="00EC1727" w:rsidRDefault="00EC1727" w:rsidP="0075449F">
    <w:pPr>
      <w:ind w:left="720" w:firstLine="720"/>
      <w:rPr>
        <w:b/>
        <w:sz w:val="28"/>
      </w:rPr>
    </w:pPr>
  </w:p>
  <w:p w:rsidR="00EC1727" w:rsidRPr="000A32E3" w:rsidRDefault="00EC1727" w:rsidP="0075449F">
    <w:pPr>
      <w:ind w:left="720" w:firstLine="720"/>
      <w:rPr>
        <w:rFonts w:cs="Times New Roman"/>
        <w:b/>
        <w:sz w:val="28"/>
      </w:rPr>
    </w:pPr>
  </w:p>
  <w:p w:rsidR="00EC1727" w:rsidRDefault="00EC172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ocumentProtection w:edit="comments" w:enforcement="1"/>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1026"/>
  </w:hdrShapeDefaults>
  <w:compat>
    <w:doNotAutofitConstrainedTables/>
    <w:splitPgBreakAndParaMark/>
    <w:doNotVertAlignCellWithSp/>
    <w:doNotBreakConstrainedForcedTable/>
    <w:useAnsiKerningPairs/>
    <w:cachedColBalance/>
  </w:compat>
  <w:rsids>
    <w:rsidRoot w:val="00C65025"/>
    <w:rsid w:val="00074294"/>
    <w:rsid w:val="000A32E3"/>
    <w:rsid w:val="00104094"/>
    <w:rsid w:val="00132066"/>
    <w:rsid w:val="00213BB4"/>
    <w:rsid w:val="002417F0"/>
    <w:rsid w:val="00255228"/>
    <w:rsid w:val="002615BF"/>
    <w:rsid w:val="002F3CAF"/>
    <w:rsid w:val="0034128E"/>
    <w:rsid w:val="00362BA8"/>
    <w:rsid w:val="00387A1B"/>
    <w:rsid w:val="003C2327"/>
    <w:rsid w:val="003F2FFF"/>
    <w:rsid w:val="0041452D"/>
    <w:rsid w:val="005776C6"/>
    <w:rsid w:val="0058024B"/>
    <w:rsid w:val="005A7AC0"/>
    <w:rsid w:val="005C57CB"/>
    <w:rsid w:val="005C755E"/>
    <w:rsid w:val="00600D1B"/>
    <w:rsid w:val="00657568"/>
    <w:rsid w:val="0075449F"/>
    <w:rsid w:val="00771085"/>
    <w:rsid w:val="00776B08"/>
    <w:rsid w:val="00795771"/>
    <w:rsid w:val="007D0D63"/>
    <w:rsid w:val="0098483E"/>
    <w:rsid w:val="009A752B"/>
    <w:rsid w:val="009E2108"/>
    <w:rsid w:val="00A340FE"/>
    <w:rsid w:val="00A70AEC"/>
    <w:rsid w:val="00A92E00"/>
    <w:rsid w:val="00AB1BF2"/>
    <w:rsid w:val="00AB457C"/>
    <w:rsid w:val="00B349C1"/>
    <w:rsid w:val="00B44017"/>
    <w:rsid w:val="00B44018"/>
    <w:rsid w:val="00B44547"/>
    <w:rsid w:val="00BA7BED"/>
    <w:rsid w:val="00BE11DA"/>
    <w:rsid w:val="00BE4949"/>
    <w:rsid w:val="00BF6561"/>
    <w:rsid w:val="00C2004D"/>
    <w:rsid w:val="00C65025"/>
    <w:rsid w:val="00D02C20"/>
    <w:rsid w:val="00D2412C"/>
    <w:rsid w:val="00D63F70"/>
    <w:rsid w:val="00D93F88"/>
    <w:rsid w:val="00DF0A6F"/>
    <w:rsid w:val="00EC1727"/>
    <w:rsid w:val="00EE2FE2"/>
    <w:rsid w:val="00F754E6"/>
    <w:rsid w:val="00F9699D"/>
    <w:rsid w:val="00FF3AA7"/>
  </w:rsids>
  <m:mathPr>
    <m:mathFont m:val="Zapf Dingbats"/>
    <m:brkBin m:val="before"/>
    <m:brkBinSub m:val="--"/>
    <m:smallFrac m:val="off"/>
    <m:dispDef m:val="off"/>
    <m:lMargin m:val="0"/>
    <m:rMargin m:val="0"/>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276"/>
  <w:style w:type="paragraph" w:default="1" w:styleId="Normal">
    <w:name w:val="Normal"/>
    <w:qFormat/>
    <w:rsid w:val="002F44BA"/>
    <w:rPr>
      <w:rFonts w:ascii="Arial" w:hAnsi="Arial"/>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C6502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C65025"/>
    <w:rPr>
      <w:color w:val="0000FF" w:themeColor="hyperlink"/>
      <w:u w:val="single"/>
    </w:rPr>
  </w:style>
  <w:style w:type="paragraph" w:styleId="Header">
    <w:name w:val="header"/>
    <w:basedOn w:val="Normal"/>
    <w:link w:val="HeaderChar"/>
    <w:uiPriority w:val="99"/>
    <w:semiHidden/>
    <w:unhideWhenUsed/>
    <w:rsid w:val="00BE4949"/>
    <w:pPr>
      <w:tabs>
        <w:tab w:val="center" w:pos="4153"/>
        <w:tab w:val="right" w:pos="8306"/>
      </w:tabs>
    </w:pPr>
  </w:style>
  <w:style w:type="character" w:customStyle="1" w:styleId="HeaderChar">
    <w:name w:val="Header Char"/>
    <w:basedOn w:val="DefaultParagraphFont"/>
    <w:link w:val="Header"/>
    <w:uiPriority w:val="99"/>
    <w:semiHidden/>
    <w:rsid w:val="00BE4949"/>
    <w:rPr>
      <w:rFonts w:ascii="Arial" w:hAnsi="Arial"/>
      <w:lang w:val="en-US"/>
    </w:rPr>
  </w:style>
  <w:style w:type="paragraph" w:styleId="Footer">
    <w:name w:val="footer"/>
    <w:basedOn w:val="Normal"/>
    <w:link w:val="FooterChar"/>
    <w:uiPriority w:val="99"/>
    <w:semiHidden/>
    <w:unhideWhenUsed/>
    <w:rsid w:val="00BE4949"/>
    <w:pPr>
      <w:tabs>
        <w:tab w:val="center" w:pos="4153"/>
        <w:tab w:val="right" w:pos="8306"/>
      </w:tabs>
    </w:pPr>
  </w:style>
  <w:style w:type="character" w:customStyle="1" w:styleId="FooterChar">
    <w:name w:val="Footer Char"/>
    <w:basedOn w:val="DefaultParagraphFont"/>
    <w:link w:val="Footer"/>
    <w:uiPriority w:val="99"/>
    <w:semiHidden/>
    <w:rsid w:val="00BE4949"/>
    <w:rPr>
      <w:rFonts w:ascii="Arial" w:hAnsi="Arial"/>
      <w:lang w:val="en-US"/>
    </w:rPr>
  </w:style>
  <w:style w:type="character" w:styleId="PageNumber">
    <w:name w:val="page number"/>
    <w:basedOn w:val="DefaultParagraphFont"/>
    <w:uiPriority w:val="99"/>
    <w:semiHidden/>
    <w:unhideWhenUsed/>
    <w:rsid w:val="000A32E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printerSettings" Target="printerSettings/printerSettings1.bin"/><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www.americanswelcome.ch/why-switzerland.php" TargetMode="External"/><Relationship Id="rId5" Type="http://schemas.openxmlformats.org/officeDocument/2006/relationships/hyperlink" Target="http://www.americanswelcome.ch/leco.php" TargetMode="External"/><Relationship Id="rId6" Type="http://schemas.openxmlformats.org/officeDocument/2006/relationships/hyperlink" Target="http://www.americanswelcome.ch/alphabetical.php" TargetMode="External"/><Relationship Id="rId7" Type="http://schemas.openxmlformats.org/officeDocument/2006/relationships/hyperlink" Target="http://www.americanswelcome.ch/reporting-requirements.php" TargetMode="External"/><Relationship Id="rId8" Type="http://schemas.openxmlformats.org/officeDocument/2006/relationships/hyperlink" Target="http://www.americanswelcome.ch/tax-advisers.php"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4</Pages>
  <Words>692</Words>
  <Characters>3945</Characters>
  <Application>Microsoft Macintosh Word</Application>
  <DocSecurity>8</DocSecurity>
  <Lines>32</Lines>
  <Paragraphs>7</Paragraphs>
  <ScaleCrop>false</ScaleCrop>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Liebgott</dc:creator>
  <cp:keywords/>
  <cp:lastModifiedBy>Anne Liebgott</cp:lastModifiedBy>
  <cp:revision>38</cp:revision>
  <cp:lastPrinted>2015-11-28T05:59:00Z</cp:lastPrinted>
  <dcterms:created xsi:type="dcterms:W3CDTF">2015-11-27T12:27:00Z</dcterms:created>
  <dcterms:modified xsi:type="dcterms:W3CDTF">2015-11-28T10:06:00Z</dcterms:modified>
</cp:coreProperties>
</file>