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E7D" w:rsidRDefault="00440E7D" w:rsidP="00440E7D">
      <w:pPr>
        <w:ind w:right="522"/>
        <w:rPr>
          <w:sz w:val="20"/>
        </w:rPr>
      </w:pPr>
      <w:r>
        <w:rPr>
          <w:sz w:val="20"/>
        </w:rPr>
        <w:t>For immediate release:</w:t>
      </w:r>
    </w:p>
    <w:p w:rsidR="00440E7D" w:rsidRDefault="00440E7D" w:rsidP="00440E7D">
      <w:pPr>
        <w:ind w:right="522"/>
        <w:rPr>
          <w:sz w:val="20"/>
        </w:rPr>
      </w:pPr>
      <w:r>
        <w:rPr>
          <w:sz w:val="20"/>
        </w:rPr>
        <w:t>March 9, 2016</w:t>
      </w:r>
      <w:r>
        <w:rPr>
          <w:sz w:val="20"/>
        </w:rPr>
        <w:tab/>
      </w:r>
    </w:p>
    <w:p w:rsidR="00440E7D" w:rsidRPr="00AC7173" w:rsidRDefault="00440E7D" w:rsidP="00364AEC">
      <w:pPr>
        <w:ind w:right="522"/>
        <w:jc w:val="both"/>
        <w:rPr>
          <w:sz w:val="20"/>
        </w:rPr>
      </w:pPr>
      <w:r w:rsidRPr="00AC7173">
        <w:rPr>
          <w:sz w:val="20"/>
        </w:rPr>
        <w:t>Media Contacts:</w:t>
      </w:r>
    </w:p>
    <w:p w:rsidR="00364AEC" w:rsidRDefault="00440E7D" w:rsidP="00364AEC">
      <w:pPr>
        <w:ind w:right="522"/>
        <w:jc w:val="both"/>
        <w:rPr>
          <w:sz w:val="20"/>
        </w:rPr>
      </w:pPr>
      <w:r>
        <w:rPr>
          <w:sz w:val="20"/>
        </w:rPr>
        <w:t>Shannon Benton:</w:t>
      </w:r>
      <w:r w:rsidRPr="00AC7173">
        <w:rPr>
          <w:sz w:val="20"/>
        </w:rPr>
        <w:t xml:space="preserve"> 1-800-333-TSCL (8725)</w:t>
      </w:r>
      <w:r>
        <w:rPr>
          <w:sz w:val="20"/>
        </w:rPr>
        <w:tab/>
      </w:r>
      <w:r>
        <w:rPr>
          <w:sz w:val="20"/>
        </w:rPr>
        <w:tab/>
      </w:r>
      <w:r>
        <w:rPr>
          <w:sz w:val="20"/>
        </w:rPr>
        <w:tab/>
      </w:r>
      <w:r>
        <w:rPr>
          <w:sz w:val="20"/>
        </w:rPr>
        <w:tab/>
      </w:r>
      <w:r>
        <w:rPr>
          <w:sz w:val="20"/>
        </w:rPr>
        <w:tab/>
      </w:r>
    </w:p>
    <w:p w:rsidR="00440E7D" w:rsidRPr="00AC7173" w:rsidRDefault="00267D16" w:rsidP="00364AEC">
      <w:pPr>
        <w:ind w:right="522"/>
        <w:jc w:val="both"/>
        <w:rPr>
          <w:sz w:val="20"/>
        </w:rPr>
      </w:pPr>
      <w:hyperlink r:id="rId7" w:history="1">
        <w:r w:rsidR="00440E7D" w:rsidRPr="00AC7173">
          <w:rPr>
            <w:sz w:val="20"/>
          </w:rPr>
          <w:t>sbenton@tsclhq.org</w:t>
        </w:r>
      </w:hyperlink>
      <w:r w:rsidR="00440E7D" w:rsidRPr="00AC7173">
        <w:rPr>
          <w:sz w:val="20"/>
        </w:rPr>
        <w:t xml:space="preserve">  </w:t>
      </w:r>
    </w:p>
    <w:p w:rsidR="00440E7D" w:rsidRDefault="00440E7D" w:rsidP="00364AEC">
      <w:pPr>
        <w:ind w:right="522"/>
        <w:jc w:val="both"/>
        <w:rPr>
          <w:sz w:val="20"/>
        </w:rPr>
      </w:pPr>
      <w:r w:rsidRPr="00AC7173">
        <w:rPr>
          <w:sz w:val="20"/>
        </w:rPr>
        <w:tab/>
      </w:r>
      <w:r w:rsidRPr="00AC7173">
        <w:rPr>
          <w:sz w:val="20"/>
        </w:rPr>
        <w:tab/>
      </w:r>
      <w:r w:rsidRPr="00AC7173">
        <w:rPr>
          <w:sz w:val="20"/>
        </w:rPr>
        <w:tab/>
      </w:r>
      <w:r w:rsidRPr="00AC7173">
        <w:rPr>
          <w:sz w:val="20"/>
        </w:rPr>
        <w:tab/>
      </w:r>
      <w:r w:rsidRPr="00AC7173">
        <w:rPr>
          <w:sz w:val="20"/>
        </w:rPr>
        <w:tab/>
      </w:r>
      <w:r w:rsidRPr="00AC7173">
        <w:rPr>
          <w:sz w:val="20"/>
        </w:rPr>
        <w:tab/>
      </w:r>
      <w:r w:rsidRPr="00AC7173">
        <w:rPr>
          <w:sz w:val="20"/>
        </w:rPr>
        <w:tab/>
      </w:r>
    </w:p>
    <w:p w:rsidR="00364AEC" w:rsidRDefault="00440E7D" w:rsidP="00364AEC">
      <w:pPr>
        <w:ind w:right="522"/>
        <w:jc w:val="both"/>
        <w:rPr>
          <w:sz w:val="20"/>
        </w:rPr>
      </w:pPr>
      <w:r>
        <w:rPr>
          <w:sz w:val="20"/>
        </w:rPr>
        <w:t>Mary Johnson:</w:t>
      </w:r>
      <w:r w:rsidRPr="00AC7173">
        <w:rPr>
          <w:sz w:val="20"/>
        </w:rPr>
        <w:t xml:space="preserve"> (540) 832-5513</w:t>
      </w:r>
    </w:p>
    <w:p w:rsidR="00440E7D" w:rsidRPr="00364AEC" w:rsidRDefault="00440E7D" w:rsidP="00364AEC">
      <w:pPr>
        <w:ind w:right="522"/>
        <w:jc w:val="both"/>
        <w:rPr>
          <w:sz w:val="20"/>
        </w:rPr>
      </w:pPr>
      <w:r>
        <w:rPr>
          <w:sz w:val="20"/>
        </w:rPr>
        <w:t>mary.johnson.nld@gmail.com</w:t>
      </w:r>
      <w:r w:rsidRPr="00AC7173">
        <w:rPr>
          <w:sz w:val="20"/>
        </w:rPr>
        <w:tab/>
      </w:r>
    </w:p>
    <w:p w:rsidR="00440E7D" w:rsidRPr="00861D9A" w:rsidRDefault="00440E7D" w:rsidP="00440E7D">
      <w:pPr>
        <w:ind w:right="522"/>
        <w:rPr>
          <w:sz w:val="22"/>
          <w:szCs w:val="22"/>
        </w:rPr>
      </w:pPr>
    </w:p>
    <w:p w:rsidR="00440E7D" w:rsidRDefault="00440E7D" w:rsidP="00440E7D">
      <w:pPr>
        <w:ind w:right="522"/>
        <w:rPr>
          <w:b/>
          <w:sz w:val="32"/>
          <w:szCs w:val="32"/>
        </w:rPr>
      </w:pPr>
    </w:p>
    <w:p w:rsidR="00440E7D" w:rsidRDefault="00440E7D" w:rsidP="00440E7D">
      <w:pPr>
        <w:ind w:right="522"/>
        <w:rPr>
          <w:b/>
          <w:sz w:val="32"/>
          <w:szCs w:val="32"/>
        </w:rPr>
      </w:pPr>
      <w:r>
        <w:rPr>
          <w:b/>
          <w:noProof/>
          <w:sz w:val="32"/>
          <w:szCs w:val="32"/>
        </w:rPr>
        <w:drawing>
          <wp:anchor distT="0" distB="0" distL="114300" distR="114300" simplePos="0" relativeHeight="251677696" behindDoc="0" locked="0" layoutInCell="1" allowOverlap="1">
            <wp:simplePos x="0" y="0"/>
            <wp:positionH relativeFrom="column">
              <wp:posOffset>2171700</wp:posOffset>
            </wp:positionH>
            <wp:positionV relativeFrom="paragraph">
              <wp:posOffset>42545</wp:posOffset>
            </wp:positionV>
            <wp:extent cx="1143000" cy="796290"/>
            <wp:effectExtent l="0" t="0" r="0" b="0"/>
            <wp:wrapThrough wrapText="bothSides">
              <wp:wrapPolygon edited="0">
                <wp:start x="0" y="0"/>
                <wp:lineTo x="0" y="20670"/>
                <wp:lineTo x="21120" y="20670"/>
                <wp:lineTo x="21120" y="0"/>
                <wp:lineTo x="0" y="0"/>
              </wp:wrapPolygon>
            </wp:wrapThrough>
            <wp:docPr id="17" name="Picture 2" descr="TSCL 2-c logo13_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CL 2-c logo13_CS3"/>
                    <pic:cNvPicPr>
                      <a:picLocks noChangeAspect="1" noChangeArrowheads="1"/>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0" cy="796290"/>
                    </a:xfrm>
                    <a:prstGeom prst="rect">
                      <a:avLst/>
                    </a:prstGeom>
                    <a:noFill/>
                    <a:ln>
                      <a:noFill/>
                    </a:ln>
                  </pic:spPr>
                </pic:pic>
              </a:graphicData>
            </a:graphic>
          </wp:anchor>
        </w:drawing>
      </w:r>
    </w:p>
    <w:p w:rsidR="00440E7D" w:rsidRDefault="00440E7D" w:rsidP="00440E7D">
      <w:pPr>
        <w:ind w:right="522"/>
        <w:rPr>
          <w:b/>
          <w:sz w:val="32"/>
          <w:szCs w:val="32"/>
        </w:rPr>
      </w:pPr>
    </w:p>
    <w:p w:rsidR="00440E7D" w:rsidRDefault="00440E7D" w:rsidP="00440E7D">
      <w:pPr>
        <w:ind w:right="522"/>
        <w:rPr>
          <w:b/>
          <w:sz w:val="32"/>
          <w:szCs w:val="32"/>
        </w:rPr>
      </w:pPr>
    </w:p>
    <w:p w:rsidR="00440E7D" w:rsidRPr="00B755A6" w:rsidRDefault="00440E7D" w:rsidP="00440E7D">
      <w:pPr>
        <w:jc w:val="center"/>
        <w:rPr>
          <w:szCs w:val="24"/>
        </w:rPr>
      </w:pPr>
    </w:p>
    <w:p w:rsidR="00440E7D" w:rsidRDefault="00440E7D" w:rsidP="00440E7D">
      <w:pPr>
        <w:jc w:val="center"/>
        <w:rPr>
          <w:b/>
          <w:szCs w:val="24"/>
        </w:rPr>
      </w:pPr>
    </w:p>
    <w:p w:rsidR="00440E7D" w:rsidRPr="00C413C6" w:rsidRDefault="00440E7D" w:rsidP="00440E7D">
      <w:pPr>
        <w:jc w:val="center"/>
        <w:rPr>
          <w:b/>
          <w:szCs w:val="24"/>
        </w:rPr>
      </w:pPr>
      <w:r>
        <w:rPr>
          <w:b/>
          <w:szCs w:val="24"/>
        </w:rPr>
        <w:t xml:space="preserve">What Are The Top 10 Fastest Growing Costs For Older Consumers? </w:t>
      </w:r>
    </w:p>
    <w:p w:rsidR="00440E7D" w:rsidRPr="00FC360B" w:rsidRDefault="00440E7D" w:rsidP="00440E7D">
      <w:pPr>
        <w:jc w:val="center"/>
        <w:rPr>
          <w:b/>
          <w:szCs w:val="24"/>
        </w:rPr>
      </w:pPr>
      <w:r>
        <w:rPr>
          <w:i/>
          <w:szCs w:val="24"/>
        </w:rPr>
        <w:t xml:space="preserve">New Chart From </w:t>
      </w:r>
      <w:r w:rsidRPr="00F6010F">
        <w:rPr>
          <w:i/>
          <w:szCs w:val="24"/>
        </w:rPr>
        <w:t>The Senior Citizens League</w:t>
      </w:r>
      <w:r>
        <w:rPr>
          <w:i/>
          <w:szCs w:val="24"/>
        </w:rPr>
        <w:t xml:space="preserve"> </w:t>
      </w:r>
    </w:p>
    <w:p w:rsidR="00440E7D" w:rsidRPr="004A3CD1" w:rsidRDefault="00440E7D" w:rsidP="00440E7D">
      <w:pPr>
        <w:jc w:val="center"/>
        <w:rPr>
          <w:szCs w:val="24"/>
        </w:rPr>
      </w:pPr>
      <w:r w:rsidRPr="004A3CD1">
        <w:rPr>
          <w:b/>
          <w:szCs w:val="24"/>
        </w:rPr>
        <w:t>_______________________________________________________________________</w:t>
      </w:r>
    </w:p>
    <w:p w:rsidR="00440E7D" w:rsidRPr="004A3CD1" w:rsidRDefault="00440E7D" w:rsidP="00440E7D">
      <w:pPr>
        <w:rPr>
          <w:b/>
          <w:szCs w:val="24"/>
        </w:rPr>
      </w:pPr>
    </w:p>
    <w:p w:rsidR="00440E7D" w:rsidRDefault="00440E7D" w:rsidP="00440E7D">
      <w:pPr>
        <w:rPr>
          <w:szCs w:val="24"/>
        </w:rPr>
      </w:pPr>
      <w:r w:rsidRPr="004A3CD1">
        <w:rPr>
          <w:b/>
          <w:szCs w:val="24"/>
        </w:rPr>
        <w:t>(Washington, DC) –</w:t>
      </w:r>
      <w:r>
        <w:rPr>
          <w:b/>
          <w:szCs w:val="24"/>
        </w:rPr>
        <w:t xml:space="preserve"> </w:t>
      </w:r>
      <w:r>
        <w:rPr>
          <w:szCs w:val="24"/>
        </w:rPr>
        <w:t xml:space="preserve">Even though inflation was too low for a cost – of – living adjustment (COLA) this year, a number of crucial items that older consumers typically buy jumped in cost, according to a new chart released today by The Senior Citizens League (TSCL).  “These cost increases are forcing older consumers to make difficult choices,” says TSCL Chairman, Ed Cates.  “In the years when Social Security benefits don’t keep up with rising costs, people living on fixed incomes are forced to spend retirement savings faster than planned or worse, go into debt, just to make ends meet,” says Cates.  </w:t>
      </w:r>
    </w:p>
    <w:p w:rsidR="00440E7D" w:rsidRDefault="00440E7D" w:rsidP="00440E7D">
      <w:pPr>
        <w:rPr>
          <w:szCs w:val="24"/>
        </w:rPr>
      </w:pPr>
      <w:r>
        <w:rPr>
          <w:szCs w:val="24"/>
        </w:rPr>
        <w:tab/>
        <w:t xml:space="preserve">The following chart illustrates ten of the biggest cost increases over the past year in items most likely to be found in a typical retiree’s household budget.  </w:t>
      </w:r>
    </w:p>
    <w:p w:rsidR="00440E7D" w:rsidRDefault="00440E7D" w:rsidP="00440E7D">
      <w:pPr>
        <w:rPr>
          <w:b/>
        </w:rPr>
      </w:pPr>
    </w:p>
    <w:p w:rsidR="00440E7D" w:rsidRDefault="00440E7D" w:rsidP="00440E7D">
      <w:pPr>
        <w:rPr>
          <w:b/>
        </w:rPr>
      </w:pPr>
      <w:r>
        <w:rPr>
          <w:b/>
        </w:rPr>
        <w:t>Top Ten Fastest Rising Costs Of Older Consumers</w:t>
      </w:r>
    </w:p>
    <w:p w:rsidR="00440E7D" w:rsidRPr="006E1D8F" w:rsidRDefault="00440E7D" w:rsidP="00440E7D">
      <w:pPr>
        <w:rPr>
          <w:b/>
        </w:rPr>
      </w:pPr>
      <w:r w:rsidRPr="006E1D8F">
        <w:rPr>
          <w:b/>
        </w:rPr>
        <w:t>January 2015 – January 2016</w:t>
      </w:r>
    </w:p>
    <w:p w:rsidR="00440E7D" w:rsidRDefault="00440E7D" w:rsidP="00440E7D"/>
    <w:tbl>
      <w:tblPr>
        <w:tblStyle w:val="TableGrid"/>
        <w:tblW w:w="0" w:type="auto"/>
        <w:tblLook w:val="04A0"/>
      </w:tblPr>
      <w:tblGrid>
        <w:gridCol w:w="2307"/>
        <w:gridCol w:w="2307"/>
        <w:gridCol w:w="1851"/>
      </w:tblGrid>
      <w:tr w:rsidR="00440E7D" w:rsidTr="00D86FC7">
        <w:tc>
          <w:tcPr>
            <w:tcW w:w="2307" w:type="dxa"/>
          </w:tcPr>
          <w:p w:rsidR="00440E7D" w:rsidRPr="00E70838" w:rsidRDefault="00440E7D" w:rsidP="00D86FC7">
            <w:pPr>
              <w:rPr>
                <w:b/>
              </w:rPr>
            </w:pPr>
          </w:p>
        </w:tc>
        <w:tc>
          <w:tcPr>
            <w:tcW w:w="2307" w:type="dxa"/>
          </w:tcPr>
          <w:p w:rsidR="00440E7D" w:rsidRPr="00E70838" w:rsidRDefault="00440E7D" w:rsidP="00D86FC7">
            <w:pPr>
              <w:rPr>
                <w:b/>
              </w:rPr>
            </w:pPr>
            <w:r w:rsidRPr="00E70838">
              <w:rPr>
                <w:b/>
              </w:rPr>
              <w:t>Item</w:t>
            </w:r>
          </w:p>
        </w:tc>
        <w:tc>
          <w:tcPr>
            <w:tcW w:w="1851" w:type="dxa"/>
          </w:tcPr>
          <w:p w:rsidR="00440E7D" w:rsidRPr="00E70838" w:rsidRDefault="00440E7D" w:rsidP="00D86FC7">
            <w:pPr>
              <w:rPr>
                <w:b/>
              </w:rPr>
            </w:pPr>
            <w:r w:rsidRPr="00E70838">
              <w:rPr>
                <w:b/>
              </w:rPr>
              <w:t>Percentage Increase</w:t>
            </w:r>
          </w:p>
        </w:tc>
      </w:tr>
      <w:tr w:rsidR="00440E7D" w:rsidTr="00D86FC7">
        <w:tc>
          <w:tcPr>
            <w:tcW w:w="2307" w:type="dxa"/>
          </w:tcPr>
          <w:p w:rsidR="00440E7D" w:rsidRDefault="00440E7D" w:rsidP="00D86FC7">
            <w:r>
              <w:t>1.</w:t>
            </w:r>
          </w:p>
        </w:tc>
        <w:tc>
          <w:tcPr>
            <w:tcW w:w="2307" w:type="dxa"/>
          </w:tcPr>
          <w:p w:rsidR="00440E7D" w:rsidRDefault="00267D16" w:rsidP="00D86FC7">
            <w:hyperlink r:id="rId9" w:anchor="collapse-4809" w:history="1">
              <w:r w:rsidR="00440E7D" w:rsidRPr="00256E7A">
                <w:rPr>
                  <w:rStyle w:val="Hyperlink"/>
                </w:rPr>
                <w:t>Medicare Part B</w:t>
              </w:r>
            </w:hyperlink>
            <w:r w:rsidR="00440E7D">
              <w:t xml:space="preserve"> (if paid by check)</w:t>
            </w:r>
          </w:p>
        </w:tc>
        <w:tc>
          <w:tcPr>
            <w:tcW w:w="1851" w:type="dxa"/>
          </w:tcPr>
          <w:p w:rsidR="00440E7D" w:rsidRDefault="00440E7D" w:rsidP="00D86FC7">
            <w:r>
              <w:t>16%</w:t>
            </w:r>
          </w:p>
        </w:tc>
      </w:tr>
      <w:tr w:rsidR="00440E7D" w:rsidTr="00D86FC7">
        <w:tc>
          <w:tcPr>
            <w:tcW w:w="2307" w:type="dxa"/>
          </w:tcPr>
          <w:p w:rsidR="00440E7D" w:rsidRDefault="00440E7D" w:rsidP="00D86FC7">
            <w:r>
              <w:t>2.</w:t>
            </w:r>
          </w:p>
        </w:tc>
        <w:tc>
          <w:tcPr>
            <w:tcW w:w="2307" w:type="dxa"/>
          </w:tcPr>
          <w:p w:rsidR="00440E7D" w:rsidRDefault="00267D16" w:rsidP="00D86FC7">
            <w:hyperlink r:id="rId10" w:history="1">
              <w:r w:rsidR="00440E7D" w:rsidRPr="00A570EC">
                <w:rPr>
                  <w:rStyle w:val="Hyperlink"/>
                </w:rPr>
                <w:t>Prescription Drugs</w:t>
              </w:r>
            </w:hyperlink>
          </w:p>
        </w:tc>
        <w:tc>
          <w:tcPr>
            <w:tcW w:w="1851" w:type="dxa"/>
          </w:tcPr>
          <w:p w:rsidR="00440E7D" w:rsidRDefault="00440E7D" w:rsidP="00D86FC7">
            <w:r>
              <w:t>10.4%</w:t>
            </w:r>
          </w:p>
        </w:tc>
      </w:tr>
      <w:tr w:rsidR="00440E7D" w:rsidTr="00D86FC7">
        <w:tc>
          <w:tcPr>
            <w:tcW w:w="2307" w:type="dxa"/>
          </w:tcPr>
          <w:p w:rsidR="00440E7D" w:rsidRDefault="00440E7D" w:rsidP="00D86FC7">
            <w:r>
              <w:t>3.</w:t>
            </w:r>
          </w:p>
        </w:tc>
        <w:tc>
          <w:tcPr>
            <w:tcW w:w="2307" w:type="dxa"/>
          </w:tcPr>
          <w:p w:rsidR="00440E7D" w:rsidRDefault="00440E7D" w:rsidP="00D86FC7">
            <w:r>
              <w:t>Tomatoes, pound</w:t>
            </w:r>
          </w:p>
        </w:tc>
        <w:tc>
          <w:tcPr>
            <w:tcW w:w="1851" w:type="dxa"/>
          </w:tcPr>
          <w:p w:rsidR="00440E7D" w:rsidRDefault="00440E7D" w:rsidP="00D86FC7">
            <w:r>
              <w:t>8.1%*</w:t>
            </w:r>
          </w:p>
        </w:tc>
      </w:tr>
      <w:tr w:rsidR="00440E7D" w:rsidTr="00D86FC7">
        <w:tc>
          <w:tcPr>
            <w:tcW w:w="2307" w:type="dxa"/>
          </w:tcPr>
          <w:p w:rsidR="00440E7D" w:rsidRDefault="00440E7D" w:rsidP="00D86FC7">
            <w:r>
              <w:t>4.</w:t>
            </w:r>
          </w:p>
        </w:tc>
        <w:tc>
          <w:tcPr>
            <w:tcW w:w="2307" w:type="dxa"/>
          </w:tcPr>
          <w:p w:rsidR="00440E7D" w:rsidRDefault="00440E7D" w:rsidP="00D86FC7">
            <w:r>
              <w:t>Eggs, dozen</w:t>
            </w:r>
          </w:p>
        </w:tc>
        <w:tc>
          <w:tcPr>
            <w:tcW w:w="1851" w:type="dxa"/>
          </w:tcPr>
          <w:p w:rsidR="00440E7D" w:rsidRDefault="00440E7D" w:rsidP="00D86FC7">
            <w:r>
              <w:t>6.8%*</w:t>
            </w:r>
          </w:p>
        </w:tc>
      </w:tr>
      <w:tr w:rsidR="00440E7D" w:rsidTr="00D86FC7">
        <w:tc>
          <w:tcPr>
            <w:tcW w:w="2307" w:type="dxa"/>
          </w:tcPr>
          <w:p w:rsidR="00440E7D" w:rsidRDefault="00440E7D" w:rsidP="00D86FC7">
            <w:r>
              <w:t>5.</w:t>
            </w:r>
          </w:p>
        </w:tc>
        <w:tc>
          <w:tcPr>
            <w:tcW w:w="2307" w:type="dxa"/>
          </w:tcPr>
          <w:p w:rsidR="00440E7D" w:rsidRDefault="00440E7D" w:rsidP="00D86FC7">
            <w:r>
              <w:t>Motor vehicle insurance</w:t>
            </w:r>
          </w:p>
        </w:tc>
        <w:tc>
          <w:tcPr>
            <w:tcW w:w="1851" w:type="dxa"/>
          </w:tcPr>
          <w:p w:rsidR="00440E7D" w:rsidRDefault="00440E7D" w:rsidP="00D86FC7">
            <w:r>
              <w:t>5.4%*</w:t>
            </w:r>
          </w:p>
        </w:tc>
      </w:tr>
      <w:tr w:rsidR="00440E7D" w:rsidTr="00D86FC7">
        <w:tc>
          <w:tcPr>
            <w:tcW w:w="2307" w:type="dxa"/>
          </w:tcPr>
          <w:p w:rsidR="00440E7D" w:rsidRDefault="00440E7D" w:rsidP="00D86FC7">
            <w:r>
              <w:t>6.</w:t>
            </w:r>
          </w:p>
        </w:tc>
        <w:tc>
          <w:tcPr>
            <w:tcW w:w="2307" w:type="dxa"/>
          </w:tcPr>
          <w:p w:rsidR="00440E7D" w:rsidRDefault="00440E7D" w:rsidP="00D86FC7">
            <w:r>
              <w:t>Hospital services</w:t>
            </w:r>
          </w:p>
        </w:tc>
        <w:tc>
          <w:tcPr>
            <w:tcW w:w="1851" w:type="dxa"/>
          </w:tcPr>
          <w:p w:rsidR="00440E7D" w:rsidRDefault="00440E7D" w:rsidP="00D86FC7">
            <w:r>
              <w:t>4.6%*</w:t>
            </w:r>
          </w:p>
        </w:tc>
      </w:tr>
      <w:tr w:rsidR="00440E7D" w:rsidTr="00D86FC7">
        <w:tc>
          <w:tcPr>
            <w:tcW w:w="2307" w:type="dxa"/>
          </w:tcPr>
          <w:p w:rsidR="00440E7D" w:rsidRDefault="00440E7D" w:rsidP="00D86FC7">
            <w:r>
              <w:t>7.</w:t>
            </w:r>
          </w:p>
        </w:tc>
        <w:tc>
          <w:tcPr>
            <w:tcW w:w="2307" w:type="dxa"/>
          </w:tcPr>
          <w:p w:rsidR="00440E7D" w:rsidRDefault="00440E7D" w:rsidP="00D86FC7">
            <w:r>
              <w:t>Homeowners insurance</w:t>
            </w:r>
          </w:p>
        </w:tc>
        <w:tc>
          <w:tcPr>
            <w:tcW w:w="1851" w:type="dxa"/>
          </w:tcPr>
          <w:p w:rsidR="00440E7D" w:rsidRDefault="00440E7D" w:rsidP="00D86FC7">
            <w:r>
              <w:t>4.6%*</w:t>
            </w:r>
          </w:p>
        </w:tc>
      </w:tr>
      <w:tr w:rsidR="00440E7D" w:rsidTr="00D86FC7">
        <w:tc>
          <w:tcPr>
            <w:tcW w:w="2307" w:type="dxa"/>
          </w:tcPr>
          <w:p w:rsidR="00440E7D" w:rsidRDefault="00440E7D" w:rsidP="00D86FC7">
            <w:r>
              <w:t>8.</w:t>
            </w:r>
          </w:p>
        </w:tc>
        <w:tc>
          <w:tcPr>
            <w:tcW w:w="2307" w:type="dxa"/>
          </w:tcPr>
          <w:p w:rsidR="00440E7D" w:rsidRDefault="00440E7D" w:rsidP="00D86FC7">
            <w:r>
              <w:t>Veterinarian services</w:t>
            </w:r>
          </w:p>
        </w:tc>
        <w:tc>
          <w:tcPr>
            <w:tcW w:w="1851" w:type="dxa"/>
          </w:tcPr>
          <w:p w:rsidR="00440E7D" w:rsidRDefault="00440E7D" w:rsidP="00D86FC7">
            <w:r>
              <w:t>4.1%*</w:t>
            </w:r>
          </w:p>
        </w:tc>
      </w:tr>
      <w:tr w:rsidR="00440E7D" w:rsidTr="00D86FC7">
        <w:tc>
          <w:tcPr>
            <w:tcW w:w="2307" w:type="dxa"/>
          </w:tcPr>
          <w:p w:rsidR="00440E7D" w:rsidRDefault="00440E7D" w:rsidP="00D86FC7">
            <w:r>
              <w:lastRenderedPageBreak/>
              <w:t>9.</w:t>
            </w:r>
          </w:p>
        </w:tc>
        <w:tc>
          <w:tcPr>
            <w:tcW w:w="2307" w:type="dxa"/>
          </w:tcPr>
          <w:p w:rsidR="00440E7D" w:rsidRDefault="00440E7D" w:rsidP="00D86FC7">
            <w:r>
              <w:t>Housing</w:t>
            </w:r>
          </w:p>
        </w:tc>
        <w:tc>
          <w:tcPr>
            <w:tcW w:w="1851" w:type="dxa"/>
          </w:tcPr>
          <w:p w:rsidR="00440E7D" w:rsidRDefault="00440E7D" w:rsidP="00D86FC7">
            <w:r>
              <w:t>3.7%*</w:t>
            </w:r>
          </w:p>
        </w:tc>
      </w:tr>
      <w:tr w:rsidR="00440E7D" w:rsidTr="00D86FC7">
        <w:tc>
          <w:tcPr>
            <w:tcW w:w="2307" w:type="dxa"/>
          </w:tcPr>
          <w:p w:rsidR="00440E7D" w:rsidRDefault="00440E7D" w:rsidP="00D86FC7">
            <w:r>
              <w:t>10.</w:t>
            </w:r>
          </w:p>
        </w:tc>
        <w:tc>
          <w:tcPr>
            <w:tcW w:w="2307" w:type="dxa"/>
          </w:tcPr>
          <w:p w:rsidR="00440E7D" w:rsidRDefault="00440E7D" w:rsidP="00D86FC7">
            <w:r>
              <w:t>Physicians’ services</w:t>
            </w:r>
          </w:p>
        </w:tc>
        <w:tc>
          <w:tcPr>
            <w:tcW w:w="1851" w:type="dxa"/>
          </w:tcPr>
          <w:p w:rsidR="00440E7D" w:rsidRDefault="00440E7D" w:rsidP="00D86FC7">
            <w:r>
              <w:t>2.3%*</w:t>
            </w:r>
          </w:p>
        </w:tc>
      </w:tr>
      <w:tr w:rsidR="00440E7D" w:rsidTr="00D86FC7">
        <w:tc>
          <w:tcPr>
            <w:tcW w:w="2307" w:type="dxa"/>
          </w:tcPr>
          <w:p w:rsidR="00440E7D" w:rsidRDefault="00440E7D" w:rsidP="00D86FC7"/>
        </w:tc>
        <w:tc>
          <w:tcPr>
            <w:tcW w:w="2307" w:type="dxa"/>
          </w:tcPr>
          <w:p w:rsidR="00440E7D" w:rsidRDefault="00440E7D" w:rsidP="00D86FC7">
            <w:r>
              <w:t>Fuel oil</w:t>
            </w:r>
          </w:p>
        </w:tc>
        <w:tc>
          <w:tcPr>
            <w:tcW w:w="1851" w:type="dxa"/>
          </w:tcPr>
          <w:p w:rsidR="00440E7D" w:rsidRPr="00F9234D" w:rsidRDefault="00440E7D" w:rsidP="00D86FC7">
            <w:pPr>
              <w:rPr>
                <w:color w:val="FF0000"/>
              </w:rPr>
            </w:pPr>
            <w:r w:rsidRPr="00F9234D">
              <w:rPr>
                <w:color w:val="FF0000"/>
              </w:rPr>
              <w:t>(-28.7%)</w:t>
            </w:r>
            <w:r>
              <w:rPr>
                <w:color w:val="FF0000"/>
              </w:rPr>
              <w:t>*</w:t>
            </w:r>
          </w:p>
        </w:tc>
      </w:tr>
    </w:tbl>
    <w:p w:rsidR="00440E7D" w:rsidRDefault="00440E7D" w:rsidP="00440E7D">
      <w:pPr>
        <w:rPr>
          <w:szCs w:val="24"/>
        </w:rPr>
      </w:pPr>
      <w:r>
        <w:rPr>
          <w:szCs w:val="24"/>
        </w:rPr>
        <w:t>* Consumer Price Index data for January 2016, Bureau of Labor Statistics.</w:t>
      </w:r>
    </w:p>
    <w:p w:rsidR="00440E7D" w:rsidRDefault="00440E7D" w:rsidP="00440E7D">
      <w:pPr>
        <w:rPr>
          <w:szCs w:val="24"/>
        </w:rPr>
      </w:pPr>
      <w:r>
        <w:rPr>
          <w:szCs w:val="24"/>
        </w:rPr>
        <w:tab/>
      </w:r>
    </w:p>
    <w:p w:rsidR="00440E7D" w:rsidRDefault="00440E7D" w:rsidP="00440E7D">
      <w:pPr>
        <w:rPr>
          <w:szCs w:val="24"/>
        </w:rPr>
      </w:pPr>
      <w:r>
        <w:rPr>
          <w:szCs w:val="24"/>
        </w:rPr>
        <w:tab/>
        <w:t>“While the majority of Medicare beneficiaries did NOT have an increase in their Medicare Part B premiums this year, about one - third pay 16 percent more in premiums than they paid last year — one of the biggest increases in Medicare premiums on record,” Cates says.  “This especially affects people who have delayed the start of their Social Security benefits and pay for their Medicare by check,” Cates explains.  Over time however, TSCL studies indicate that Medicare Part B premium, increases are one of the top fastest - growing costs during most retirement years.</w:t>
      </w:r>
    </w:p>
    <w:p w:rsidR="00440E7D" w:rsidRDefault="00440E7D" w:rsidP="00440E7D">
      <w:pPr>
        <w:rPr>
          <w:szCs w:val="24"/>
        </w:rPr>
      </w:pPr>
      <w:r>
        <w:rPr>
          <w:szCs w:val="24"/>
        </w:rPr>
        <w:tab/>
        <w:t xml:space="preserve">Prescription drug costs are another category that TSCL is receiving a lot of comments about from people age 60 and over.  “There have been several back - to - back years recently of extreme prescription drug price spikes,” Cates says.  TSCL used data from </w:t>
      </w:r>
      <w:proofErr w:type="spellStart"/>
      <w:r>
        <w:rPr>
          <w:szCs w:val="24"/>
        </w:rPr>
        <w:t>Truveris</w:t>
      </w:r>
      <w:proofErr w:type="spellEnd"/>
      <w:r>
        <w:rPr>
          <w:szCs w:val="24"/>
        </w:rPr>
        <w:t xml:space="preserve">, a healthcare data company that tracks thousands of drug prices, which showed that prescription drug prices rose 10.43 percent in 2015.  TSCL supports legislation that would allow Medicare greater authority to negotiate drug prices. </w:t>
      </w:r>
    </w:p>
    <w:p w:rsidR="00440E7D" w:rsidRDefault="00440E7D" w:rsidP="00440E7D">
      <w:pPr>
        <w:rPr>
          <w:szCs w:val="24"/>
        </w:rPr>
      </w:pPr>
      <w:r>
        <w:rPr>
          <w:szCs w:val="24"/>
        </w:rPr>
        <w:tab/>
        <w:t xml:space="preserve">The cost of eating a more healthy diet rose while the cost of foods higher in fat and cholesterol like processed meats and cheese tumbled.  The cost of a pound of tomatoes rose 8.1 percent, almost as much as the </w:t>
      </w:r>
      <w:proofErr w:type="gramStart"/>
      <w:r>
        <w:rPr>
          <w:szCs w:val="24"/>
        </w:rPr>
        <w:t>average increase</w:t>
      </w:r>
      <w:proofErr w:type="gramEnd"/>
      <w:r>
        <w:rPr>
          <w:szCs w:val="24"/>
        </w:rPr>
        <w:t xml:space="preserve"> in prescription medicines. </w:t>
      </w:r>
    </w:p>
    <w:p w:rsidR="00440E7D" w:rsidRDefault="00440E7D" w:rsidP="00440E7D">
      <w:pPr>
        <w:rPr>
          <w:szCs w:val="24"/>
        </w:rPr>
      </w:pPr>
      <w:r>
        <w:rPr>
          <w:szCs w:val="24"/>
        </w:rPr>
        <w:tab/>
        <w:t>Although the cost increase of doctor visits was one of the slower growing increases at 2.3 percent, the price of veterinarian care for pets rose 4.1 percent, nearly double the rate of physician costs.  TSCL believes that’s due to the effect of insurers negotiating discounts from doctors for human care.  But the same is not so much the case with pet medical care because most people don’t have insurance for the pets.</w:t>
      </w:r>
    </w:p>
    <w:p w:rsidR="00440E7D" w:rsidRDefault="00440E7D" w:rsidP="00440E7D">
      <w:pPr>
        <w:rPr>
          <w:szCs w:val="24"/>
        </w:rPr>
      </w:pPr>
      <w:r>
        <w:rPr>
          <w:szCs w:val="24"/>
        </w:rPr>
        <w:tab/>
        <w:t>“The takeaway is that, although the huge drop in fuel oil costs is only one area of spending, it’s big enough to drive down the COLA — even though older Americans drive less as they get older,” Cates says.  Research for TSCL indicates that using a seniors CPI — like the Consumer Price Index for the Elderly (CPI-E) — would pay a higher COLA in most years, even in 2016.  TSCL is lobbying for an Emergency COLA, as well as legislation that would pay a more fair and accurate COLA by switching to the CPI-E.</w:t>
      </w:r>
    </w:p>
    <w:p w:rsidR="00440E7D" w:rsidRPr="004A3CD1" w:rsidRDefault="00440E7D" w:rsidP="00440E7D">
      <w:pPr>
        <w:rPr>
          <w:szCs w:val="24"/>
        </w:rPr>
      </w:pPr>
      <w:r>
        <w:rPr>
          <w:szCs w:val="24"/>
        </w:rPr>
        <w:tab/>
        <w:t xml:space="preserve">How are you affected by rising costs?  Take TSCL’s annual </w:t>
      </w:r>
      <w:hyperlink r:id="rId11" w:history="1">
        <w:r w:rsidRPr="00A2632F">
          <w:rPr>
            <w:rStyle w:val="Hyperlink"/>
            <w:szCs w:val="24"/>
          </w:rPr>
          <w:t>Senior Survey</w:t>
        </w:r>
      </w:hyperlink>
      <w:r>
        <w:rPr>
          <w:szCs w:val="24"/>
        </w:rPr>
        <w:t>— v</w:t>
      </w:r>
      <w:r w:rsidRPr="004A3CD1">
        <w:rPr>
          <w:szCs w:val="24"/>
        </w:rPr>
        <w:t xml:space="preserve">isit </w:t>
      </w:r>
      <w:hyperlink r:id="rId12" w:history="1">
        <w:r w:rsidRPr="004A3CD1">
          <w:rPr>
            <w:rStyle w:val="Hyperlink"/>
            <w:szCs w:val="24"/>
          </w:rPr>
          <w:t>www.SeniorsLeague.org</w:t>
        </w:r>
      </w:hyperlink>
      <w:r>
        <w:rPr>
          <w:szCs w:val="24"/>
          <w:u w:val="single"/>
        </w:rPr>
        <w:t>.</w:t>
      </w:r>
    </w:p>
    <w:p w:rsidR="00440E7D" w:rsidRPr="004A3CD1" w:rsidRDefault="00440E7D" w:rsidP="00440E7D">
      <w:pPr>
        <w:rPr>
          <w:szCs w:val="24"/>
        </w:rPr>
      </w:pPr>
      <w:r w:rsidRPr="004A3CD1">
        <w:rPr>
          <w:szCs w:val="24"/>
        </w:rPr>
        <w:tab/>
        <w:t> </w:t>
      </w:r>
    </w:p>
    <w:p w:rsidR="00440E7D" w:rsidRPr="0042609D" w:rsidRDefault="00440E7D" w:rsidP="00440E7D">
      <w:pPr>
        <w:jc w:val="center"/>
        <w:rPr>
          <w:sz w:val="22"/>
          <w:szCs w:val="22"/>
        </w:rPr>
      </w:pPr>
      <w:r w:rsidRPr="0042609D">
        <w:rPr>
          <w:sz w:val="22"/>
          <w:szCs w:val="22"/>
        </w:rPr>
        <w:t>###</w:t>
      </w:r>
    </w:p>
    <w:p w:rsidR="00440E7D" w:rsidRPr="00E3496A" w:rsidRDefault="00440E7D" w:rsidP="00440E7D">
      <w:pPr>
        <w:rPr>
          <w:sz w:val="23"/>
          <w:szCs w:val="23"/>
        </w:rPr>
      </w:pPr>
    </w:p>
    <w:p w:rsidR="00440E7D" w:rsidRDefault="00440E7D" w:rsidP="00440E7D">
      <w:pPr>
        <w:rPr>
          <w:bCs/>
          <w:i/>
          <w:sz w:val="21"/>
          <w:szCs w:val="21"/>
        </w:rPr>
      </w:pPr>
      <w:r w:rsidRPr="001A7D5F">
        <w:rPr>
          <w:i/>
          <w:sz w:val="21"/>
          <w:szCs w:val="21"/>
        </w:rPr>
        <w:t xml:space="preserve">With 1.2 million </w:t>
      </w:r>
      <w:r>
        <w:rPr>
          <w:i/>
          <w:sz w:val="21"/>
          <w:szCs w:val="21"/>
        </w:rPr>
        <w:t>supporter</w:t>
      </w:r>
      <w:r w:rsidRPr="001A7D5F">
        <w:rPr>
          <w:i/>
          <w:sz w:val="21"/>
          <w:szCs w:val="21"/>
        </w:rPr>
        <w:t xml:space="preserve">s, The Senior Citizens League is one of the nation’s largest nonpartisan seniors groups. Its </w:t>
      </w:r>
      <w:r w:rsidRPr="001A7D5F">
        <w:rPr>
          <w:bCs/>
          <w:i/>
          <w:sz w:val="21"/>
          <w:szCs w:val="21"/>
        </w:rPr>
        <w:t xml:space="preserve">mission is to promote and assist members and supporters, to educate and alert senior citizens about their rights and freedoms as U.S. Citizens, and to protect and defend the benefits senior citizens have earned and paid for. The Senior Citizens League is a proud affiliate of The Retired Enlisted Association. </w:t>
      </w:r>
      <w:r>
        <w:rPr>
          <w:bCs/>
          <w:i/>
          <w:sz w:val="21"/>
          <w:szCs w:val="21"/>
        </w:rPr>
        <w:t xml:space="preserve"> </w:t>
      </w:r>
      <w:r w:rsidRPr="001A7D5F">
        <w:rPr>
          <w:bCs/>
          <w:i/>
          <w:sz w:val="21"/>
          <w:szCs w:val="21"/>
        </w:rPr>
        <w:t xml:space="preserve">Visit </w:t>
      </w:r>
      <w:hyperlink r:id="rId13" w:history="1">
        <w:r w:rsidRPr="001A7D5F">
          <w:rPr>
            <w:rStyle w:val="Hyperlink"/>
            <w:bCs/>
            <w:i/>
            <w:sz w:val="21"/>
            <w:szCs w:val="21"/>
          </w:rPr>
          <w:t>www.SeniorsLeague.org</w:t>
        </w:r>
      </w:hyperlink>
      <w:r w:rsidRPr="001A7D5F">
        <w:rPr>
          <w:bCs/>
          <w:i/>
          <w:sz w:val="21"/>
          <w:szCs w:val="21"/>
        </w:rPr>
        <w:t xml:space="preserve"> for more information.</w:t>
      </w:r>
    </w:p>
    <w:p w:rsidR="00440E7D" w:rsidRDefault="00440E7D" w:rsidP="00440E7D">
      <w:pPr>
        <w:ind w:right="522"/>
      </w:pPr>
    </w:p>
    <w:p w:rsidR="00440E7D" w:rsidRDefault="00440E7D" w:rsidP="00440E7D">
      <w:pPr>
        <w:ind w:right="522"/>
      </w:pPr>
    </w:p>
    <w:p w:rsidR="00FE7CEA" w:rsidRDefault="00FE7CEA" w:rsidP="00440E7D">
      <w:pPr>
        <w:pStyle w:val="Footer"/>
        <w:tabs>
          <w:tab w:val="clear" w:pos="4320"/>
          <w:tab w:val="clear" w:pos="8640"/>
        </w:tabs>
        <w:ind w:right="522"/>
        <w:jc w:val="center"/>
      </w:pPr>
    </w:p>
    <w:sectPr w:rsidR="00FE7CEA" w:rsidSect="00FE7CEA">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9AE" w:rsidRDefault="001A69AE" w:rsidP="00EC441B">
      <w:r>
        <w:separator/>
      </w:r>
    </w:p>
  </w:endnote>
  <w:endnote w:type="continuationSeparator" w:id="0">
    <w:p w:rsidR="001A69AE" w:rsidRDefault="001A69AE" w:rsidP="00EC44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9AE" w:rsidRDefault="001A69AE" w:rsidP="00EC441B">
      <w:r>
        <w:separator/>
      </w:r>
    </w:p>
  </w:footnote>
  <w:footnote w:type="continuationSeparator" w:id="0">
    <w:p w:rsidR="001A69AE" w:rsidRDefault="001A69AE" w:rsidP="00EC44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4FC40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5672C51"/>
    <w:multiLevelType w:val="hybridMultilevel"/>
    <w:tmpl w:val="B7469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3958CA"/>
    <w:multiLevelType w:val="hybridMultilevel"/>
    <w:tmpl w:val="FAC2919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
    <w:nsid w:val="3F3D4908"/>
    <w:multiLevelType w:val="hybridMultilevel"/>
    <w:tmpl w:val="00E49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1913DF"/>
    <w:multiLevelType w:val="hybridMultilevel"/>
    <w:tmpl w:val="CF466D98"/>
    <w:lvl w:ilvl="0" w:tplc="A140A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0CA71E0"/>
    <w:multiLevelType w:val="hybridMultilevel"/>
    <w:tmpl w:val="DE18F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C829C2"/>
    <w:multiLevelType w:val="hybridMultilevel"/>
    <w:tmpl w:val="405C6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6"/>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footnotePr>
    <w:footnote w:id="-1"/>
    <w:footnote w:id="0"/>
  </w:footnotePr>
  <w:endnotePr>
    <w:endnote w:id="-1"/>
    <w:endnote w:id="0"/>
  </w:endnotePr>
  <w:compat>
    <w:useFELayout/>
  </w:compat>
  <w:rsids>
    <w:rsidRoot w:val="0073256E"/>
    <w:rsid w:val="00010DE1"/>
    <w:rsid w:val="000220FE"/>
    <w:rsid w:val="000252E4"/>
    <w:rsid w:val="000275FE"/>
    <w:rsid w:val="000322B9"/>
    <w:rsid w:val="0005145F"/>
    <w:rsid w:val="00091744"/>
    <w:rsid w:val="000A1DCE"/>
    <w:rsid w:val="000A75E5"/>
    <w:rsid w:val="000B3486"/>
    <w:rsid w:val="000C2482"/>
    <w:rsid w:val="000C57BB"/>
    <w:rsid w:val="000E365F"/>
    <w:rsid w:val="00123184"/>
    <w:rsid w:val="001365C9"/>
    <w:rsid w:val="00162601"/>
    <w:rsid w:val="001735FD"/>
    <w:rsid w:val="00182FDF"/>
    <w:rsid w:val="001A69AE"/>
    <w:rsid w:val="001B0580"/>
    <w:rsid w:val="001B52ED"/>
    <w:rsid w:val="001E6F52"/>
    <w:rsid w:val="0023269B"/>
    <w:rsid w:val="0023765E"/>
    <w:rsid w:val="0024167F"/>
    <w:rsid w:val="00252479"/>
    <w:rsid w:val="0026494A"/>
    <w:rsid w:val="00265FDB"/>
    <w:rsid w:val="00267D16"/>
    <w:rsid w:val="00273CC0"/>
    <w:rsid w:val="00280DCB"/>
    <w:rsid w:val="002A716D"/>
    <w:rsid w:val="002A77E0"/>
    <w:rsid w:val="002B45F9"/>
    <w:rsid w:val="002B6E22"/>
    <w:rsid w:val="002D378E"/>
    <w:rsid w:val="003502F4"/>
    <w:rsid w:val="00364AEC"/>
    <w:rsid w:val="00375DA9"/>
    <w:rsid w:val="00384AFC"/>
    <w:rsid w:val="003870AC"/>
    <w:rsid w:val="00391416"/>
    <w:rsid w:val="003A7685"/>
    <w:rsid w:val="003A7F6F"/>
    <w:rsid w:val="003C0392"/>
    <w:rsid w:val="003C0C4A"/>
    <w:rsid w:val="003D3C26"/>
    <w:rsid w:val="003E5EF4"/>
    <w:rsid w:val="003F4EE3"/>
    <w:rsid w:val="004129A6"/>
    <w:rsid w:val="00424D18"/>
    <w:rsid w:val="00440E7D"/>
    <w:rsid w:val="00457DD9"/>
    <w:rsid w:val="0046028E"/>
    <w:rsid w:val="004603B6"/>
    <w:rsid w:val="00464C37"/>
    <w:rsid w:val="00481F30"/>
    <w:rsid w:val="00482C85"/>
    <w:rsid w:val="004846B8"/>
    <w:rsid w:val="00494847"/>
    <w:rsid w:val="004B2829"/>
    <w:rsid w:val="004B3E58"/>
    <w:rsid w:val="004B43EF"/>
    <w:rsid w:val="004C1E70"/>
    <w:rsid w:val="004F3DD1"/>
    <w:rsid w:val="005303AD"/>
    <w:rsid w:val="00554314"/>
    <w:rsid w:val="005565B8"/>
    <w:rsid w:val="005744B2"/>
    <w:rsid w:val="00585E38"/>
    <w:rsid w:val="005A6802"/>
    <w:rsid w:val="005B170F"/>
    <w:rsid w:val="005E3ECB"/>
    <w:rsid w:val="005F0775"/>
    <w:rsid w:val="00615D28"/>
    <w:rsid w:val="00631352"/>
    <w:rsid w:val="00651EB9"/>
    <w:rsid w:val="0066052B"/>
    <w:rsid w:val="00680297"/>
    <w:rsid w:val="0068583A"/>
    <w:rsid w:val="00693B4D"/>
    <w:rsid w:val="006B0BEA"/>
    <w:rsid w:val="006C0F23"/>
    <w:rsid w:val="006E297D"/>
    <w:rsid w:val="006F2F3A"/>
    <w:rsid w:val="00700DB9"/>
    <w:rsid w:val="00701D18"/>
    <w:rsid w:val="00712394"/>
    <w:rsid w:val="0073256E"/>
    <w:rsid w:val="00751466"/>
    <w:rsid w:val="00796DDD"/>
    <w:rsid w:val="007B1C53"/>
    <w:rsid w:val="007B237B"/>
    <w:rsid w:val="007E45CE"/>
    <w:rsid w:val="007F0268"/>
    <w:rsid w:val="00804992"/>
    <w:rsid w:val="008231B1"/>
    <w:rsid w:val="008241FF"/>
    <w:rsid w:val="00847F48"/>
    <w:rsid w:val="00850766"/>
    <w:rsid w:val="00851129"/>
    <w:rsid w:val="00854731"/>
    <w:rsid w:val="00883152"/>
    <w:rsid w:val="00892B08"/>
    <w:rsid w:val="00895BEF"/>
    <w:rsid w:val="008A3D4B"/>
    <w:rsid w:val="008E21A8"/>
    <w:rsid w:val="008E6BB3"/>
    <w:rsid w:val="008F561F"/>
    <w:rsid w:val="00911396"/>
    <w:rsid w:val="00925576"/>
    <w:rsid w:val="00940939"/>
    <w:rsid w:val="00940F89"/>
    <w:rsid w:val="00952EF2"/>
    <w:rsid w:val="0096538A"/>
    <w:rsid w:val="00967DC4"/>
    <w:rsid w:val="009A08FA"/>
    <w:rsid w:val="009A16D1"/>
    <w:rsid w:val="009B701A"/>
    <w:rsid w:val="009C1334"/>
    <w:rsid w:val="009D2FD2"/>
    <w:rsid w:val="009D7C40"/>
    <w:rsid w:val="009E4D0D"/>
    <w:rsid w:val="009E5127"/>
    <w:rsid w:val="00A6484A"/>
    <w:rsid w:val="00A65900"/>
    <w:rsid w:val="00A774B2"/>
    <w:rsid w:val="00A8152C"/>
    <w:rsid w:val="00AB0A9C"/>
    <w:rsid w:val="00AB3800"/>
    <w:rsid w:val="00AC376B"/>
    <w:rsid w:val="00AC740F"/>
    <w:rsid w:val="00AF357E"/>
    <w:rsid w:val="00AF55C0"/>
    <w:rsid w:val="00AF7CAC"/>
    <w:rsid w:val="00B11E90"/>
    <w:rsid w:val="00B1738F"/>
    <w:rsid w:val="00B22120"/>
    <w:rsid w:val="00B31FCE"/>
    <w:rsid w:val="00B47841"/>
    <w:rsid w:val="00B5181E"/>
    <w:rsid w:val="00B61908"/>
    <w:rsid w:val="00B61FB8"/>
    <w:rsid w:val="00B63A50"/>
    <w:rsid w:val="00B6662C"/>
    <w:rsid w:val="00BB02F4"/>
    <w:rsid w:val="00BB78BA"/>
    <w:rsid w:val="00BC2566"/>
    <w:rsid w:val="00BC742C"/>
    <w:rsid w:val="00BF0B43"/>
    <w:rsid w:val="00C155B8"/>
    <w:rsid w:val="00C37D60"/>
    <w:rsid w:val="00C464C6"/>
    <w:rsid w:val="00C51C1F"/>
    <w:rsid w:val="00C65D10"/>
    <w:rsid w:val="00CB1F9C"/>
    <w:rsid w:val="00CC0E84"/>
    <w:rsid w:val="00CD030F"/>
    <w:rsid w:val="00CD1EBF"/>
    <w:rsid w:val="00CE58F0"/>
    <w:rsid w:val="00D103F4"/>
    <w:rsid w:val="00D22F2E"/>
    <w:rsid w:val="00D27F73"/>
    <w:rsid w:val="00D3397A"/>
    <w:rsid w:val="00D43EA0"/>
    <w:rsid w:val="00D450DA"/>
    <w:rsid w:val="00D74C5F"/>
    <w:rsid w:val="00DA6B46"/>
    <w:rsid w:val="00DA7CB0"/>
    <w:rsid w:val="00DD13A4"/>
    <w:rsid w:val="00E2500C"/>
    <w:rsid w:val="00E34585"/>
    <w:rsid w:val="00E422F1"/>
    <w:rsid w:val="00E50714"/>
    <w:rsid w:val="00E535F0"/>
    <w:rsid w:val="00E60937"/>
    <w:rsid w:val="00E803E1"/>
    <w:rsid w:val="00E86878"/>
    <w:rsid w:val="00EA18B1"/>
    <w:rsid w:val="00EA4D60"/>
    <w:rsid w:val="00EC441B"/>
    <w:rsid w:val="00EC4665"/>
    <w:rsid w:val="00ED0975"/>
    <w:rsid w:val="00ED4B9D"/>
    <w:rsid w:val="00EE098F"/>
    <w:rsid w:val="00EE4CD4"/>
    <w:rsid w:val="00F03463"/>
    <w:rsid w:val="00F45922"/>
    <w:rsid w:val="00F56CA2"/>
    <w:rsid w:val="00F61F43"/>
    <w:rsid w:val="00F72543"/>
    <w:rsid w:val="00F73F70"/>
    <w:rsid w:val="00F74CED"/>
    <w:rsid w:val="00F80ADE"/>
    <w:rsid w:val="00FB54DC"/>
    <w:rsid w:val="00FB7C1C"/>
    <w:rsid w:val="00FC685E"/>
    <w:rsid w:val="00FD356B"/>
    <w:rsid w:val="00FE004C"/>
    <w:rsid w:val="00FE7C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rsid w:val="00F61F43"/>
    <w:rPr>
      <w:rFonts w:eastAsia="Times New Roman"/>
      <w:sz w:val="20"/>
    </w:rPr>
  </w:style>
  <w:style w:type="character" w:customStyle="1" w:styleId="EndnoteTextChar">
    <w:name w:val="Endnote Text Char"/>
    <w:basedOn w:val="DefaultParagraphFont"/>
    <w:link w:val="EndnoteText"/>
    <w:rsid w:val="00F61F43"/>
    <w:rPr>
      <w:rFonts w:eastAsia="Times New Roman" w:cs="Times New Roman"/>
      <w:sz w:val="20"/>
      <w:szCs w:val="20"/>
    </w:rPr>
  </w:style>
  <w:style w:type="paragraph" w:styleId="BodyTextIndent">
    <w:name w:val="Body Text Indent"/>
    <w:basedOn w:val="Normal"/>
    <w:link w:val="BodyTextIndentChar"/>
    <w:rsid w:val="00F61F43"/>
    <w:pPr>
      <w:ind w:firstLine="720"/>
    </w:pPr>
    <w:rPr>
      <w:sz w:val="22"/>
    </w:rPr>
  </w:style>
  <w:style w:type="character" w:customStyle="1" w:styleId="BodyTextIndentChar">
    <w:name w:val="Body Text Indent Char"/>
    <w:basedOn w:val="DefaultParagraphFont"/>
    <w:link w:val="BodyTextIndent"/>
    <w:rsid w:val="00F61F43"/>
    <w:rPr>
      <w:rFonts w:eastAsia="Times" w:cs="Times New Roman"/>
      <w:sz w:val="22"/>
      <w:szCs w:val="20"/>
    </w:rPr>
  </w:style>
  <w:style w:type="paragraph" w:styleId="Title">
    <w:name w:val="Title"/>
    <w:basedOn w:val="Normal"/>
    <w:link w:val="TitleChar"/>
    <w:qFormat/>
    <w:rsid w:val="00F61F43"/>
    <w:pPr>
      <w:jc w:val="center"/>
    </w:pPr>
    <w:rPr>
      <w:b/>
      <w:i/>
      <w:sz w:val="22"/>
    </w:rPr>
  </w:style>
  <w:style w:type="character" w:customStyle="1" w:styleId="TitleChar">
    <w:name w:val="Title Char"/>
    <w:basedOn w:val="DefaultParagraphFont"/>
    <w:link w:val="Title"/>
    <w:rsid w:val="00F61F43"/>
    <w:rPr>
      <w:rFonts w:eastAsia="Times" w:cs="Times New Roman"/>
      <w:b/>
      <w:i/>
      <w:sz w:val="22"/>
      <w:szCs w:val="20"/>
    </w:rPr>
  </w:style>
  <w:style w:type="paragraph" w:styleId="BodyText2">
    <w:name w:val="Body Text 2"/>
    <w:basedOn w:val="Normal"/>
    <w:link w:val="BodyText2Char"/>
    <w:rsid w:val="00F61F43"/>
    <w:rPr>
      <w:sz w:val="22"/>
    </w:rPr>
  </w:style>
  <w:style w:type="character" w:customStyle="1" w:styleId="BodyText2Char">
    <w:name w:val="Body Text 2 Char"/>
    <w:basedOn w:val="DefaultParagraphFont"/>
    <w:link w:val="BodyText2"/>
    <w:rsid w:val="00F61F43"/>
    <w:rPr>
      <w:rFonts w:eastAsia="Times" w:cs="Times New Roman"/>
      <w:sz w:val="22"/>
      <w:szCs w:val="20"/>
    </w:rPr>
  </w:style>
  <w:style w:type="paragraph" w:styleId="BodyText3">
    <w:name w:val="Body Text 3"/>
    <w:basedOn w:val="Normal"/>
    <w:link w:val="BodyText3Char"/>
    <w:rsid w:val="00F61F43"/>
    <w:rPr>
      <w:color w:val="000000"/>
    </w:rPr>
  </w:style>
  <w:style w:type="character" w:customStyle="1" w:styleId="BodyText3Char">
    <w:name w:val="Body Text 3 Char"/>
    <w:basedOn w:val="DefaultParagraphFont"/>
    <w:link w:val="BodyText3"/>
    <w:rsid w:val="00F61F43"/>
    <w:rPr>
      <w:rFonts w:eastAsia="Times" w:cs="Times New Roman"/>
      <w:color w:val="000000"/>
      <w:szCs w:val="20"/>
    </w:rPr>
  </w:style>
  <w:style w:type="character" w:styleId="EndnoteReference">
    <w:name w:val="endnote reference"/>
    <w:basedOn w:val="DefaultParagraphFont"/>
    <w:unhideWhenUsed/>
    <w:rsid w:val="00554314"/>
    <w:rPr>
      <w:vertAlign w:val="superscript"/>
    </w:rPr>
  </w:style>
  <w:style w:type="paragraph" w:styleId="ListParagraph">
    <w:name w:val="List Paragraph"/>
    <w:basedOn w:val="Normal"/>
    <w:uiPriority w:val="34"/>
    <w:qFormat/>
    <w:rsid w:val="000A1DCE"/>
    <w:pPr>
      <w:ind w:left="720"/>
      <w:contextualSpacing/>
    </w:pPr>
  </w:style>
  <w:style w:type="paragraph" w:styleId="Header">
    <w:name w:val="header"/>
    <w:basedOn w:val="Normal"/>
    <w:link w:val="HeaderChar"/>
    <w:uiPriority w:val="99"/>
    <w:unhideWhenUsed/>
    <w:rsid w:val="006B0BEA"/>
    <w:pPr>
      <w:tabs>
        <w:tab w:val="center" w:pos="4320"/>
        <w:tab w:val="right" w:pos="8640"/>
      </w:tabs>
    </w:pPr>
  </w:style>
  <w:style w:type="character" w:customStyle="1" w:styleId="HeaderChar">
    <w:name w:val="Header Char"/>
    <w:basedOn w:val="DefaultParagraphFont"/>
    <w:link w:val="Header"/>
    <w:uiPriority w:val="99"/>
    <w:rsid w:val="006B0BEA"/>
    <w:rPr>
      <w:rFonts w:eastAsia="Times" w:cs="Times New Roman"/>
      <w:szCs w:val="20"/>
    </w:rPr>
  </w:style>
  <w:style w:type="table" w:styleId="TableGrid">
    <w:name w:val="Table Grid"/>
    <w:basedOn w:val="TableNormal"/>
    <w:uiPriority w:val="59"/>
    <w:rsid w:val="00C155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rsid w:val="00F61F43"/>
    <w:rPr>
      <w:rFonts w:eastAsia="Times New Roman"/>
      <w:sz w:val="20"/>
      <w:lang w:val="x-none" w:eastAsia="x-none"/>
    </w:rPr>
  </w:style>
  <w:style w:type="character" w:customStyle="1" w:styleId="EndnoteTextChar">
    <w:name w:val="Endnote Text Char"/>
    <w:basedOn w:val="DefaultParagraphFont"/>
    <w:link w:val="EndnoteText"/>
    <w:rsid w:val="00F61F43"/>
    <w:rPr>
      <w:rFonts w:eastAsia="Times New Roman" w:cs="Times New Roman"/>
      <w:sz w:val="20"/>
      <w:szCs w:val="20"/>
      <w:lang w:val="x-none" w:eastAsia="x-none"/>
    </w:rPr>
  </w:style>
  <w:style w:type="paragraph" w:styleId="BodyTextIndent">
    <w:name w:val="Body Text Indent"/>
    <w:basedOn w:val="Normal"/>
    <w:link w:val="BodyTextIndentChar"/>
    <w:rsid w:val="00F61F43"/>
    <w:pPr>
      <w:ind w:firstLine="720"/>
    </w:pPr>
    <w:rPr>
      <w:sz w:val="22"/>
      <w:lang w:val="x-none" w:eastAsia="x-none"/>
    </w:rPr>
  </w:style>
  <w:style w:type="character" w:customStyle="1" w:styleId="BodyTextIndentChar">
    <w:name w:val="Body Text Indent Char"/>
    <w:basedOn w:val="DefaultParagraphFont"/>
    <w:link w:val="BodyTextIndent"/>
    <w:rsid w:val="00F61F43"/>
    <w:rPr>
      <w:rFonts w:eastAsia="Times" w:cs="Times New Roman"/>
      <w:sz w:val="22"/>
      <w:szCs w:val="20"/>
      <w:lang w:val="x-none" w:eastAsia="x-none"/>
    </w:rPr>
  </w:style>
  <w:style w:type="paragraph" w:styleId="Title">
    <w:name w:val="Title"/>
    <w:basedOn w:val="Normal"/>
    <w:link w:val="TitleChar"/>
    <w:qFormat/>
    <w:rsid w:val="00F61F43"/>
    <w:pPr>
      <w:jc w:val="center"/>
    </w:pPr>
    <w:rPr>
      <w:b/>
      <w:i/>
      <w:sz w:val="22"/>
      <w:lang w:val="x-none" w:eastAsia="x-none"/>
    </w:rPr>
  </w:style>
  <w:style w:type="character" w:customStyle="1" w:styleId="TitleChar">
    <w:name w:val="Title Char"/>
    <w:basedOn w:val="DefaultParagraphFont"/>
    <w:link w:val="Title"/>
    <w:rsid w:val="00F61F43"/>
    <w:rPr>
      <w:rFonts w:eastAsia="Times" w:cs="Times New Roman"/>
      <w:b/>
      <w:i/>
      <w:sz w:val="22"/>
      <w:szCs w:val="20"/>
      <w:lang w:val="x-none" w:eastAsia="x-none"/>
    </w:rPr>
  </w:style>
  <w:style w:type="paragraph" w:styleId="BodyText2">
    <w:name w:val="Body Text 2"/>
    <w:basedOn w:val="Normal"/>
    <w:link w:val="BodyText2Char"/>
    <w:rsid w:val="00F61F43"/>
    <w:rPr>
      <w:sz w:val="22"/>
      <w:lang w:val="x-none" w:eastAsia="x-none"/>
    </w:rPr>
  </w:style>
  <w:style w:type="character" w:customStyle="1" w:styleId="BodyText2Char">
    <w:name w:val="Body Text 2 Char"/>
    <w:basedOn w:val="DefaultParagraphFont"/>
    <w:link w:val="BodyText2"/>
    <w:rsid w:val="00F61F43"/>
    <w:rPr>
      <w:rFonts w:eastAsia="Times" w:cs="Times New Roman"/>
      <w:sz w:val="22"/>
      <w:szCs w:val="20"/>
      <w:lang w:val="x-none" w:eastAsia="x-none"/>
    </w:rPr>
  </w:style>
  <w:style w:type="paragraph" w:styleId="BodyText3">
    <w:name w:val="Body Text 3"/>
    <w:basedOn w:val="Normal"/>
    <w:link w:val="BodyText3Char"/>
    <w:rsid w:val="00F61F43"/>
    <w:rPr>
      <w:color w:val="000000"/>
      <w:lang w:val="x-none" w:eastAsia="x-none"/>
    </w:rPr>
  </w:style>
  <w:style w:type="character" w:customStyle="1" w:styleId="BodyText3Char">
    <w:name w:val="Body Text 3 Char"/>
    <w:basedOn w:val="DefaultParagraphFont"/>
    <w:link w:val="BodyText3"/>
    <w:rsid w:val="00F61F43"/>
    <w:rPr>
      <w:rFonts w:eastAsia="Times" w:cs="Times New Roman"/>
      <w:color w:val="000000"/>
      <w:szCs w:val="20"/>
      <w:lang w:val="x-none" w:eastAsia="x-none"/>
    </w:rPr>
  </w:style>
  <w:style w:type="character" w:styleId="EndnoteReference">
    <w:name w:val="endnote reference"/>
    <w:basedOn w:val="DefaultParagraphFont"/>
    <w:unhideWhenUsed/>
    <w:rsid w:val="00554314"/>
    <w:rPr>
      <w:vertAlign w:val="superscript"/>
    </w:rPr>
  </w:style>
  <w:style w:type="paragraph" w:styleId="ListParagraph">
    <w:name w:val="List Paragraph"/>
    <w:basedOn w:val="Normal"/>
    <w:uiPriority w:val="34"/>
    <w:qFormat/>
    <w:rsid w:val="000A1DCE"/>
    <w:pPr>
      <w:ind w:left="720"/>
      <w:contextualSpacing/>
    </w:pPr>
  </w:style>
  <w:style w:type="paragraph" w:styleId="Header">
    <w:name w:val="header"/>
    <w:basedOn w:val="Normal"/>
    <w:link w:val="HeaderChar"/>
    <w:uiPriority w:val="99"/>
    <w:unhideWhenUsed/>
    <w:rsid w:val="006B0BEA"/>
    <w:pPr>
      <w:tabs>
        <w:tab w:val="center" w:pos="4320"/>
        <w:tab w:val="right" w:pos="8640"/>
      </w:tabs>
    </w:pPr>
  </w:style>
  <w:style w:type="character" w:customStyle="1" w:styleId="HeaderChar">
    <w:name w:val="Header Char"/>
    <w:basedOn w:val="DefaultParagraphFont"/>
    <w:link w:val="Header"/>
    <w:uiPriority w:val="99"/>
    <w:rsid w:val="006B0BEA"/>
    <w:rPr>
      <w:rFonts w:eastAsia="Times" w:cs="Times New Roman"/>
      <w:szCs w:val="20"/>
    </w:rPr>
  </w:style>
  <w:style w:type="table" w:styleId="TableGrid">
    <w:name w:val="Table Grid"/>
    <w:basedOn w:val="TableNormal"/>
    <w:uiPriority w:val="59"/>
    <w:rsid w:val="00C155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SeniorsLeague.org" TargetMode="Externa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mailto:sbenton@tsclhq.org" TargetMode="External"/><Relationship Id="rId12" Type="http://schemas.openxmlformats.org/officeDocument/2006/relationships/hyperlink" Target="http://www.SeniorsLeagu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fc2.wiredforchange.com/o/8854/p/salsa/web/questionnaire/public/?questionnaire_KEY=23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usinesswire.com/news/home/20160111005051/en/Prescription-Drug-Prices-Climbed-10.43-Percent-2015" TargetMode="External"/><Relationship Id="rId4" Type="http://schemas.openxmlformats.org/officeDocument/2006/relationships/webSettings" Target="webSettings.xml"/><Relationship Id="rId9" Type="http://schemas.openxmlformats.org/officeDocument/2006/relationships/hyperlink" Target="https://www.medicare.gov/your-medicare-costs/costs-at-a-glance/costs-at-glance.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Newsletters Direct, Inc</Company>
  <LinksUpToDate>false</LinksUpToDate>
  <CharactersWithSpaces>4947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Johnson</dc:creator>
  <cp:lastModifiedBy>sbenton</cp:lastModifiedBy>
  <cp:revision>3</cp:revision>
  <cp:lastPrinted>2016-03-03T15:43:00Z</cp:lastPrinted>
  <dcterms:created xsi:type="dcterms:W3CDTF">2016-03-04T17:05:00Z</dcterms:created>
  <dcterms:modified xsi:type="dcterms:W3CDTF">2016-03-04T22:42:00Z</dcterms:modified>
</cp:coreProperties>
</file>