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7E8CD" w14:textId="3CC97A2F" w:rsidR="00713C06" w:rsidRDefault="0047196B" w:rsidP="00713C06">
      <w:pPr>
        <w:rPr>
          <w:rFonts w:ascii="Arial" w:hAnsi="Arial" w:cs="Arial"/>
          <w:b/>
          <w:sz w:val="28"/>
        </w:rPr>
      </w:pPr>
      <w:r w:rsidRPr="0047196B">
        <w:rPr>
          <w:rFonts w:ascii="Arial" w:hAnsi="Arial" w:cs="Arial"/>
          <w:b/>
          <w:noProof/>
          <w:sz w:val="28"/>
        </w:rPr>
        <w:drawing>
          <wp:inline distT="0" distB="0" distL="0" distR="0" wp14:anchorId="4A4AD133" wp14:editId="13549E5F">
            <wp:extent cx="2499360" cy="571282"/>
            <wp:effectExtent l="0" t="0" r="0" b="635"/>
            <wp:docPr id="1" name="Picture 1" descr="C:\Users\mariann.mcdonagh\Documents\Trumarx\TruMar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mcdonagh\Documents\Trumarx\TruMar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5787" cy="579608"/>
                    </a:xfrm>
                    <a:prstGeom prst="rect">
                      <a:avLst/>
                    </a:prstGeom>
                    <a:noFill/>
                    <a:ln>
                      <a:noFill/>
                    </a:ln>
                  </pic:spPr>
                </pic:pic>
              </a:graphicData>
            </a:graphic>
          </wp:inline>
        </w:drawing>
      </w:r>
    </w:p>
    <w:p w14:paraId="11A60924" w14:textId="46A2D574" w:rsidR="0068729B" w:rsidRPr="001460F0" w:rsidRDefault="008F1EC3" w:rsidP="001460F0">
      <w:pPr>
        <w:pStyle w:val="NoSpacing"/>
        <w:jc w:val="center"/>
        <w:rPr>
          <w:rFonts w:ascii="Arial" w:hAnsi="Arial" w:cs="Arial"/>
          <w:b/>
          <w:sz w:val="32"/>
          <w:szCs w:val="32"/>
        </w:rPr>
      </w:pPr>
      <w:r w:rsidRPr="001460F0">
        <w:rPr>
          <w:rFonts w:ascii="Arial" w:hAnsi="Arial" w:cs="Arial"/>
          <w:b/>
          <w:sz w:val="32"/>
          <w:szCs w:val="32"/>
        </w:rPr>
        <w:t>TruMarx Data Partners Delivers Exciting New Release of COMET Cloud Trading Platform</w:t>
      </w:r>
    </w:p>
    <w:p w14:paraId="20DC20DA" w14:textId="77777777" w:rsidR="0068729B" w:rsidRDefault="0068729B" w:rsidP="0068729B">
      <w:pPr>
        <w:pStyle w:val="NoSpacing"/>
        <w:jc w:val="center"/>
        <w:rPr>
          <w:rFonts w:ascii="Arial" w:hAnsi="Arial" w:cs="Arial"/>
          <w:b/>
          <w:sz w:val="28"/>
        </w:rPr>
      </w:pPr>
    </w:p>
    <w:p w14:paraId="41CD1676" w14:textId="77777777" w:rsidR="008F1EC3" w:rsidRPr="008F1EC3" w:rsidRDefault="008F1EC3" w:rsidP="0068729B">
      <w:pPr>
        <w:pStyle w:val="NoSpacing"/>
        <w:jc w:val="center"/>
        <w:rPr>
          <w:rFonts w:ascii="Arial" w:hAnsi="Arial" w:cs="Arial"/>
          <w:i/>
          <w:sz w:val="24"/>
          <w:szCs w:val="26"/>
        </w:rPr>
      </w:pPr>
      <w:r w:rsidRPr="008F1EC3">
        <w:rPr>
          <w:rFonts w:ascii="Arial" w:hAnsi="Arial" w:cs="Arial"/>
          <w:i/>
          <w:sz w:val="24"/>
          <w:szCs w:val="26"/>
        </w:rPr>
        <w:t xml:space="preserve">COMET Now Supports Pre-Trade Anonymity and Offers Powerful </w:t>
      </w:r>
    </w:p>
    <w:p w14:paraId="563FDCBA" w14:textId="73E378FE" w:rsidR="00424BB1" w:rsidRPr="008F1EC3" w:rsidRDefault="008F1EC3" w:rsidP="0068729B">
      <w:pPr>
        <w:pStyle w:val="NoSpacing"/>
        <w:jc w:val="center"/>
        <w:rPr>
          <w:rFonts w:ascii="Arial" w:hAnsi="Arial" w:cs="Arial"/>
          <w:i/>
          <w:sz w:val="24"/>
          <w:szCs w:val="26"/>
        </w:rPr>
      </w:pPr>
      <w:r w:rsidRPr="008F1EC3">
        <w:rPr>
          <w:rFonts w:ascii="Arial" w:hAnsi="Arial" w:cs="Arial"/>
          <w:i/>
          <w:sz w:val="24"/>
          <w:szCs w:val="26"/>
        </w:rPr>
        <w:t>New Confirmations Capabilities</w:t>
      </w:r>
    </w:p>
    <w:p w14:paraId="6B03A1CF" w14:textId="77777777" w:rsidR="00424BB1" w:rsidRDefault="00424BB1" w:rsidP="00393244">
      <w:pPr>
        <w:pStyle w:val="NoSpacing"/>
        <w:rPr>
          <w:rFonts w:ascii="Arial" w:hAnsi="Arial" w:cs="Arial"/>
          <w:i/>
          <w:sz w:val="26"/>
          <w:szCs w:val="26"/>
        </w:rPr>
      </w:pPr>
    </w:p>
    <w:p w14:paraId="55F316B6" w14:textId="072307F5" w:rsidR="0057373E" w:rsidRPr="00EF7CB0" w:rsidRDefault="00424BB1" w:rsidP="00424BB1">
      <w:pPr>
        <w:pStyle w:val="NoSpacing"/>
        <w:rPr>
          <w:rFonts w:ascii="Arial" w:hAnsi="Arial" w:cs="Arial"/>
          <w:color w:val="000000" w:themeColor="text1"/>
        </w:rPr>
      </w:pPr>
      <w:r w:rsidRPr="00F712C4">
        <w:rPr>
          <w:rFonts w:ascii="Arial" w:hAnsi="Arial" w:cs="Arial"/>
          <w:b/>
          <w:color w:val="000000" w:themeColor="text1"/>
        </w:rPr>
        <w:t>Chicago</w:t>
      </w:r>
      <w:r w:rsidR="00B83BC3" w:rsidRPr="00F712C4">
        <w:rPr>
          <w:rFonts w:ascii="Arial" w:hAnsi="Arial" w:cs="Arial"/>
          <w:b/>
          <w:color w:val="000000" w:themeColor="text1"/>
        </w:rPr>
        <w:t xml:space="preserve"> – </w:t>
      </w:r>
      <w:r w:rsidR="008F1EC3" w:rsidRPr="00F712C4">
        <w:rPr>
          <w:rFonts w:ascii="Arial" w:hAnsi="Arial" w:cs="Arial"/>
          <w:b/>
          <w:color w:val="000000" w:themeColor="text1"/>
        </w:rPr>
        <w:t xml:space="preserve">April </w:t>
      </w:r>
      <w:r w:rsidR="0093722A">
        <w:rPr>
          <w:rFonts w:ascii="Arial" w:hAnsi="Arial" w:cs="Arial"/>
          <w:b/>
          <w:color w:val="000000" w:themeColor="text1"/>
        </w:rPr>
        <w:t>5</w:t>
      </w:r>
      <w:r w:rsidRPr="00F712C4">
        <w:rPr>
          <w:rFonts w:ascii="Arial" w:hAnsi="Arial" w:cs="Arial"/>
          <w:b/>
          <w:color w:val="000000" w:themeColor="text1"/>
        </w:rPr>
        <w:t>, 2016</w:t>
      </w:r>
      <w:r w:rsidR="00B83BC3" w:rsidRPr="00EF7CB0">
        <w:rPr>
          <w:rFonts w:ascii="Arial" w:hAnsi="Arial" w:cs="Arial"/>
          <w:color w:val="000000" w:themeColor="text1"/>
        </w:rPr>
        <w:t xml:space="preserve"> – </w:t>
      </w:r>
      <w:r w:rsidRPr="00EF7CB0">
        <w:rPr>
          <w:rFonts w:ascii="Arial" w:hAnsi="Arial" w:cs="Arial"/>
          <w:color w:val="000000" w:themeColor="text1"/>
        </w:rPr>
        <w:t xml:space="preserve">TruMarx Data Partners, Inc., </w:t>
      </w:r>
      <w:r w:rsidR="008F1EC3" w:rsidRPr="00EF7CB0">
        <w:rPr>
          <w:rFonts w:ascii="Arial" w:hAnsi="Arial" w:cs="Arial"/>
          <w:color w:val="000000" w:themeColor="text1"/>
        </w:rPr>
        <w:t>the makers of COMET, the leading cloud trading services platform, today announced a powerful new software release. The new version of COMET delivers enhanced capabilities designed to further streamline and simplify the entire lifecycle for complex OTC energy commodity transactions.</w:t>
      </w:r>
    </w:p>
    <w:p w14:paraId="7AD26148" w14:textId="77777777" w:rsidR="008F1EC3" w:rsidRPr="00EF7CB0" w:rsidRDefault="008F1EC3" w:rsidP="00424BB1">
      <w:pPr>
        <w:pStyle w:val="NoSpacing"/>
        <w:rPr>
          <w:rFonts w:ascii="Arial" w:hAnsi="Arial" w:cs="Arial"/>
          <w:color w:val="000000" w:themeColor="text1"/>
        </w:rPr>
      </w:pPr>
    </w:p>
    <w:p w14:paraId="094E63E8" w14:textId="77777777" w:rsidR="008F1EC3" w:rsidRPr="00EF7CB0" w:rsidRDefault="008F1EC3" w:rsidP="008F1EC3">
      <w:pPr>
        <w:pStyle w:val="NoSpacing"/>
        <w:rPr>
          <w:rFonts w:ascii="Arial" w:hAnsi="Arial" w:cs="Arial"/>
          <w:color w:val="000000" w:themeColor="text1"/>
        </w:rPr>
      </w:pPr>
      <w:r w:rsidRPr="00EF7CB0">
        <w:rPr>
          <w:rFonts w:ascii="Arial" w:hAnsi="Arial" w:cs="Arial"/>
          <w:color w:val="000000" w:themeColor="text1"/>
        </w:rPr>
        <w:t>The new COMET features include:</w:t>
      </w:r>
    </w:p>
    <w:p w14:paraId="1F5B7AE6" w14:textId="77777777" w:rsidR="008F1EC3" w:rsidRPr="00EF7CB0" w:rsidRDefault="008F1EC3" w:rsidP="008F1EC3">
      <w:pPr>
        <w:pStyle w:val="NoSpacing"/>
        <w:rPr>
          <w:rFonts w:ascii="Arial" w:hAnsi="Arial" w:cs="Arial"/>
          <w:color w:val="000000" w:themeColor="text1"/>
        </w:rPr>
      </w:pPr>
    </w:p>
    <w:p w14:paraId="13868533" w14:textId="77777777" w:rsidR="008F1EC3" w:rsidRPr="00EF7CB0" w:rsidRDefault="008F1EC3" w:rsidP="008F1EC3">
      <w:pPr>
        <w:pStyle w:val="NoSpacing"/>
        <w:rPr>
          <w:rFonts w:ascii="Arial" w:hAnsi="Arial" w:cs="Arial"/>
          <w:b/>
          <w:i/>
          <w:color w:val="000000" w:themeColor="text1"/>
        </w:rPr>
      </w:pPr>
      <w:r w:rsidRPr="00EF7CB0">
        <w:rPr>
          <w:rFonts w:ascii="Arial" w:hAnsi="Arial" w:cs="Arial"/>
          <w:b/>
          <w:i/>
          <w:color w:val="000000" w:themeColor="text1"/>
        </w:rPr>
        <w:t xml:space="preserve">Pre-Trade Anonymity </w:t>
      </w:r>
    </w:p>
    <w:p w14:paraId="1E9212DC" w14:textId="0FA07F64" w:rsidR="008F1EC3" w:rsidRPr="00EF7CB0" w:rsidRDefault="008F1EC3" w:rsidP="008F1EC3">
      <w:pPr>
        <w:pStyle w:val="NoSpacing"/>
        <w:rPr>
          <w:rFonts w:ascii="Arial" w:hAnsi="Arial" w:cs="Arial"/>
          <w:color w:val="000000" w:themeColor="text1"/>
        </w:rPr>
      </w:pPr>
      <w:r w:rsidRPr="00EF7CB0">
        <w:rPr>
          <w:rFonts w:ascii="Arial" w:hAnsi="Arial" w:cs="Arial"/>
          <w:color w:val="000000" w:themeColor="text1"/>
        </w:rPr>
        <w:t>COMET's new pre-trade anonymity feature enables users to originate a transaction without revealing their identity to potential counterparties. This enables energy procurement professionals to create a "white list" of pre-vetted potential trading counterparties</w:t>
      </w:r>
      <w:r w:rsidR="00F712C4">
        <w:rPr>
          <w:rFonts w:ascii="Arial" w:hAnsi="Arial" w:cs="Arial"/>
          <w:color w:val="000000" w:themeColor="text1"/>
        </w:rPr>
        <w:t xml:space="preserve"> and</w:t>
      </w:r>
      <w:r w:rsidRPr="00EF7CB0">
        <w:rPr>
          <w:rFonts w:ascii="Arial" w:hAnsi="Arial" w:cs="Arial"/>
          <w:color w:val="000000" w:themeColor="text1"/>
        </w:rPr>
        <w:t xml:space="preserve"> </w:t>
      </w:r>
      <w:r w:rsidR="00F712C4" w:rsidRPr="00EF7CB0">
        <w:rPr>
          <w:rFonts w:ascii="Arial" w:hAnsi="Arial" w:cs="Arial"/>
          <w:color w:val="000000" w:themeColor="text1"/>
        </w:rPr>
        <w:t xml:space="preserve">to shop transactions </w:t>
      </w:r>
      <w:r w:rsidRPr="00EF7CB0">
        <w:rPr>
          <w:rFonts w:ascii="Arial" w:hAnsi="Arial" w:cs="Arial"/>
          <w:color w:val="000000" w:themeColor="text1"/>
        </w:rPr>
        <w:t>without revealing their identity until the transaction is consummated. This enables organizations to maximize their reach to counterparties without exposing their trading strategy, giving them a powerful competitive advantage in today's dynamic energy markets.</w:t>
      </w:r>
      <w:r w:rsidR="00F712C4">
        <w:rPr>
          <w:rFonts w:ascii="Arial" w:hAnsi="Arial" w:cs="Arial"/>
          <w:color w:val="000000" w:themeColor="text1"/>
        </w:rPr>
        <w:t xml:space="preserve"> </w:t>
      </w:r>
      <w:r w:rsidRPr="00EF7CB0">
        <w:rPr>
          <w:rFonts w:ascii="Arial" w:hAnsi="Arial" w:cs="Arial"/>
          <w:color w:val="000000" w:themeColor="text1"/>
        </w:rPr>
        <w:t xml:space="preserve">COMET's pre-trade anonymity feature will be especially attractive in certain emerging markets, </w:t>
      </w:r>
      <w:r w:rsidR="00AA15A0" w:rsidRPr="00AA15A0">
        <w:rPr>
          <w:rFonts w:ascii="Arial" w:hAnsi="Arial" w:cs="Arial"/>
          <w:color w:val="000000" w:themeColor="text1"/>
        </w:rPr>
        <w:t xml:space="preserve">such as </w:t>
      </w:r>
      <w:r w:rsidR="0093722A">
        <w:rPr>
          <w:rFonts w:ascii="Arial" w:hAnsi="Arial" w:cs="Arial"/>
          <w:color w:val="000000" w:themeColor="text1"/>
        </w:rPr>
        <w:t>b</w:t>
      </w:r>
      <w:r w:rsidR="00AA15A0" w:rsidRPr="00AA15A0">
        <w:rPr>
          <w:rFonts w:ascii="Arial" w:hAnsi="Arial" w:cs="Arial"/>
          <w:color w:val="000000" w:themeColor="text1"/>
        </w:rPr>
        <w:t>iofuels and RIN</w:t>
      </w:r>
      <w:r w:rsidR="0093722A">
        <w:rPr>
          <w:rFonts w:ascii="Arial" w:hAnsi="Arial" w:cs="Arial"/>
          <w:color w:val="000000" w:themeColor="text1"/>
        </w:rPr>
        <w:t>s</w:t>
      </w:r>
      <w:r w:rsidR="00AA15A0" w:rsidRPr="00AA15A0">
        <w:rPr>
          <w:rFonts w:ascii="Arial" w:hAnsi="Arial" w:cs="Arial"/>
          <w:color w:val="000000" w:themeColor="text1"/>
        </w:rPr>
        <w:t xml:space="preserve">, and will provide further flexibility </w:t>
      </w:r>
      <w:r w:rsidR="00AA15A0">
        <w:rPr>
          <w:rFonts w:ascii="Arial" w:hAnsi="Arial" w:cs="Arial"/>
          <w:color w:val="000000" w:themeColor="text1"/>
        </w:rPr>
        <w:t>in</w:t>
      </w:r>
      <w:r w:rsidR="00AA15A0" w:rsidRPr="00AA15A0">
        <w:rPr>
          <w:rFonts w:ascii="Arial" w:hAnsi="Arial" w:cs="Arial"/>
          <w:color w:val="000000" w:themeColor="text1"/>
        </w:rPr>
        <w:t xml:space="preserve"> </w:t>
      </w:r>
      <w:r w:rsidR="00F712C4">
        <w:rPr>
          <w:rFonts w:ascii="Arial" w:hAnsi="Arial" w:cs="Arial"/>
          <w:color w:val="000000" w:themeColor="text1"/>
        </w:rPr>
        <w:t xml:space="preserve">the </w:t>
      </w:r>
      <w:r w:rsidR="00AA15A0" w:rsidRPr="00AA15A0">
        <w:rPr>
          <w:rFonts w:ascii="Arial" w:hAnsi="Arial" w:cs="Arial"/>
          <w:color w:val="000000" w:themeColor="text1"/>
        </w:rPr>
        <w:t>more mature</w:t>
      </w:r>
      <w:r w:rsidR="00AA15A0">
        <w:rPr>
          <w:rFonts w:ascii="Arial" w:hAnsi="Arial" w:cs="Arial"/>
          <w:color w:val="000000" w:themeColor="text1"/>
        </w:rPr>
        <w:t xml:space="preserve"> gas and power markets. </w:t>
      </w:r>
    </w:p>
    <w:p w14:paraId="64EA4D73" w14:textId="77777777" w:rsidR="008F1EC3" w:rsidRPr="00EF7CB0" w:rsidRDefault="008F1EC3" w:rsidP="008F1EC3">
      <w:pPr>
        <w:pStyle w:val="NoSpacing"/>
        <w:rPr>
          <w:rFonts w:ascii="Arial" w:hAnsi="Arial" w:cs="Arial"/>
          <w:color w:val="000000" w:themeColor="text1"/>
        </w:rPr>
      </w:pPr>
    </w:p>
    <w:p w14:paraId="0BAA1237" w14:textId="77777777" w:rsidR="008F1EC3" w:rsidRPr="00EF7CB0" w:rsidRDefault="008F1EC3" w:rsidP="008F1EC3">
      <w:pPr>
        <w:pStyle w:val="NoSpacing"/>
        <w:rPr>
          <w:rFonts w:ascii="Arial" w:hAnsi="Arial" w:cs="Arial"/>
          <w:b/>
          <w:i/>
          <w:color w:val="000000" w:themeColor="text1"/>
        </w:rPr>
      </w:pPr>
      <w:r w:rsidRPr="00EF7CB0">
        <w:rPr>
          <w:rFonts w:ascii="Arial" w:hAnsi="Arial" w:cs="Arial"/>
          <w:b/>
          <w:i/>
          <w:color w:val="000000" w:themeColor="text1"/>
        </w:rPr>
        <w:t>COMET Confirmations</w:t>
      </w:r>
    </w:p>
    <w:p w14:paraId="363A87AE" w14:textId="1338F33E" w:rsidR="008F1EC3" w:rsidRPr="00EF7CB0" w:rsidRDefault="008F1EC3" w:rsidP="008F1EC3">
      <w:pPr>
        <w:pStyle w:val="NoSpacing"/>
        <w:rPr>
          <w:rFonts w:ascii="Arial" w:hAnsi="Arial" w:cs="Arial"/>
          <w:color w:val="000000" w:themeColor="text1"/>
        </w:rPr>
      </w:pPr>
      <w:r w:rsidRPr="00EF7CB0">
        <w:rPr>
          <w:rFonts w:ascii="Arial" w:hAnsi="Arial" w:cs="Arial"/>
          <w:color w:val="000000" w:themeColor="text1"/>
        </w:rPr>
        <w:t>COMET's powerful new Confirmations application delivers a standardized, auditable legal confirmation following the execution of every deal. Regardless of the complexity, especially</w:t>
      </w:r>
      <w:r w:rsidR="0093722A">
        <w:rPr>
          <w:rFonts w:ascii="Arial" w:hAnsi="Arial" w:cs="Arial"/>
          <w:color w:val="000000" w:themeColor="text1"/>
        </w:rPr>
        <w:t xml:space="preserve"> in markets such as LNG or b</w:t>
      </w:r>
      <w:r w:rsidRPr="00EF7CB0">
        <w:rPr>
          <w:rFonts w:ascii="Arial" w:hAnsi="Arial" w:cs="Arial"/>
          <w:color w:val="000000" w:themeColor="text1"/>
        </w:rPr>
        <w:t>iodiesel w</w:t>
      </w:r>
      <w:r w:rsidR="00F712C4">
        <w:rPr>
          <w:rFonts w:ascii="Arial" w:hAnsi="Arial" w:cs="Arial"/>
          <w:color w:val="000000" w:themeColor="text1"/>
        </w:rPr>
        <w:t>here transactions often require</w:t>
      </w:r>
      <w:r w:rsidRPr="00EF7CB0">
        <w:rPr>
          <w:rFonts w:ascii="Arial" w:hAnsi="Arial" w:cs="Arial"/>
          <w:color w:val="000000" w:themeColor="text1"/>
        </w:rPr>
        <w:t xml:space="preserve"> complicated terms and instructions, COMET captures every aspect of the trade in its entirety. COMET Confirmations enables users to enhance trade accuracy, reduce regulatory and administrative overhead and leverage actionable trading intelligence through:</w:t>
      </w:r>
    </w:p>
    <w:p w14:paraId="7E73FE6A" w14:textId="77777777" w:rsidR="008F1EC3" w:rsidRPr="00EF7CB0" w:rsidRDefault="008F1EC3" w:rsidP="008F1EC3">
      <w:pPr>
        <w:pStyle w:val="NoSpacing"/>
        <w:rPr>
          <w:rFonts w:ascii="Arial" w:hAnsi="Arial" w:cs="Arial"/>
          <w:color w:val="000000" w:themeColor="text1"/>
        </w:rPr>
      </w:pPr>
    </w:p>
    <w:p w14:paraId="42F43167" w14:textId="77777777" w:rsidR="008F1EC3" w:rsidRPr="00EF7CB0" w:rsidRDefault="008F1EC3" w:rsidP="008F1EC3">
      <w:pPr>
        <w:pStyle w:val="NoSpacing"/>
        <w:numPr>
          <w:ilvl w:val="0"/>
          <w:numId w:val="17"/>
        </w:numPr>
        <w:rPr>
          <w:rFonts w:ascii="Arial" w:hAnsi="Arial" w:cs="Arial"/>
          <w:color w:val="000000" w:themeColor="text1"/>
        </w:rPr>
      </w:pPr>
      <w:r w:rsidRPr="00EF7CB0">
        <w:rPr>
          <w:rFonts w:ascii="Arial" w:hAnsi="Arial" w:cs="Arial"/>
          <w:color w:val="000000" w:themeColor="text1"/>
        </w:rPr>
        <w:t>Creating a central information repository that serves as a definitive trade confirmation for both parties, speeding dispute resolution and ensuring adherence to negotiated terms</w:t>
      </w:r>
    </w:p>
    <w:p w14:paraId="2D1810DD" w14:textId="77777777" w:rsidR="008F1EC3" w:rsidRPr="00EF7CB0" w:rsidRDefault="008F1EC3" w:rsidP="008F1EC3">
      <w:pPr>
        <w:pStyle w:val="NoSpacing"/>
        <w:numPr>
          <w:ilvl w:val="0"/>
          <w:numId w:val="17"/>
        </w:numPr>
        <w:rPr>
          <w:rFonts w:ascii="Arial" w:hAnsi="Arial" w:cs="Arial"/>
          <w:color w:val="000000" w:themeColor="text1"/>
        </w:rPr>
      </w:pPr>
      <w:r w:rsidRPr="00EF7CB0">
        <w:rPr>
          <w:rFonts w:ascii="Arial" w:hAnsi="Arial" w:cs="Arial"/>
          <w:color w:val="000000" w:themeColor="text1"/>
        </w:rPr>
        <w:t xml:space="preserve">Leveraging this same data to satisfy internal governance and regulatory compliance initiatives </w:t>
      </w:r>
    </w:p>
    <w:p w14:paraId="0F4BBCF7" w14:textId="03774956" w:rsidR="008F1EC3" w:rsidRPr="00EF7CB0" w:rsidRDefault="008F1EC3" w:rsidP="008F1EC3">
      <w:pPr>
        <w:pStyle w:val="NoSpacing"/>
        <w:numPr>
          <w:ilvl w:val="0"/>
          <w:numId w:val="17"/>
        </w:numPr>
        <w:rPr>
          <w:rFonts w:ascii="Arial" w:hAnsi="Arial" w:cs="Arial"/>
          <w:color w:val="000000" w:themeColor="text1"/>
        </w:rPr>
      </w:pPr>
      <w:r w:rsidRPr="00EF7CB0">
        <w:rPr>
          <w:rFonts w:ascii="Arial" w:hAnsi="Arial" w:cs="Arial"/>
          <w:color w:val="000000" w:themeColor="text1"/>
        </w:rPr>
        <w:t xml:space="preserve">Providing automated feeds to risk management, enterprise </w:t>
      </w:r>
      <w:r w:rsidR="00F712C4">
        <w:rPr>
          <w:rFonts w:ascii="Arial" w:hAnsi="Arial" w:cs="Arial"/>
          <w:color w:val="000000" w:themeColor="text1"/>
        </w:rPr>
        <w:t>and</w:t>
      </w:r>
      <w:r w:rsidRPr="00EF7CB0">
        <w:rPr>
          <w:rFonts w:ascii="Arial" w:hAnsi="Arial" w:cs="Arial"/>
          <w:color w:val="000000" w:themeColor="text1"/>
        </w:rPr>
        <w:t xml:space="preserve"> third-party systems </w:t>
      </w:r>
    </w:p>
    <w:p w14:paraId="679CF890" w14:textId="12452589" w:rsidR="008F1EC3" w:rsidRPr="00EF7CB0" w:rsidRDefault="008F1EC3" w:rsidP="008F1EC3">
      <w:pPr>
        <w:pStyle w:val="NoSpacing"/>
        <w:numPr>
          <w:ilvl w:val="0"/>
          <w:numId w:val="17"/>
        </w:numPr>
        <w:rPr>
          <w:rFonts w:ascii="Arial" w:hAnsi="Arial" w:cs="Arial"/>
          <w:color w:val="000000" w:themeColor="text1"/>
        </w:rPr>
      </w:pPr>
      <w:r w:rsidRPr="00EF7CB0">
        <w:rPr>
          <w:rFonts w:ascii="Arial" w:hAnsi="Arial" w:cs="Arial"/>
          <w:color w:val="000000" w:themeColor="text1"/>
        </w:rPr>
        <w:t xml:space="preserve">Eliminating the need </w:t>
      </w:r>
      <w:r w:rsidR="00F712C4">
        <w:rPr>
          <w:rFonts w:ascii="Arial" w:hAnsi="Arial" w:cs="Arial"/>
          <w:color w:val="000000" w:themeColor="text1"/>
        </w:rPr>
        <w:t xml:space="preserve">for </w:t>
      </w:r>
      <w:r w:rsidRPr="00EF7CB0">
        <w:rPr>
          <w:rFonts w:ascii="Arial" w:hAnsi="Arial" w:cs="Arial"/>
          <w:color w:val="000000" w:themeColor="text1"/>
        </w:rPr>
        <w:t>and expense of outside confirmation services and</w:t>
      </w:r>
    </w:p>
    <w:p w14:paraId="0BF8AC4B" w14:textId="77777777" w:rsidR="008F1EC3" w:rsidRPr="00EF7CB0" w:rsidRDefault="008F1EC3" w:rsidP="008F1EC3">
      <w:pPr>
        <w:pStyle w:val="NoSpacing"/>
        <w:numPr>
          <w:ilvl w:val="0"/>
          <w:numId w:val="17"/>
        </w:numPr>
        <w:rPr>
          <w:rFonts w:ascii="Arial" w:hAnsi="Arial" w:cs="Arial"/>
          <w:color w:val="000000" w:themeColor="text1"/>
        </w:rPr>
      </w:pPr>
      <w:r w:rsidRPr="00EF7CB0">
        <w:rPr>
          <w:rFonts w:ascii="Arial" w:hAnsi="Arial" w:cs="Arial"/>
          <w:color w:val="000000" w:themeColor="text1"/>
        </w:rPr>
        <w:t xml:space="preserve">Delivering centralized reporting for price indexes such as </w:t>
      </w:r>
      <w:proofErr w:type="spellStart"/>
      <w:r w:rsidRPr="00EF7CB0">
        <w:rPr>
          <w:rFonts w:ascii="Arial" w:hAnsi="Arial" w:cs="Arial"/>
          <w:color w:val="000000" w:themeColor="text1"/>
        </w:rPr>
        <w:t>Platts</w:t>
      </w:r>
      <w:proofErr w:type="spellEnd"/>
      <w:r w:rsidRPr="00EF7CB0">
        <w:rPr>
          <w:rFonts w:ascii="Arial" w:hAnsi="Arial" w:cs="Arial"/>
          <w:color w:val="000000" w:themeColor="text1"/>
        </w:rPr>
        <w:t xml:space="preserve"> and Argus</w:t>
      </w:r>
    </w:p>
    <w:p w14:paraId="4E9E5F7C" w14:textId="77777777" w:rsidR="008F1EC3" w:rsidRPr="00EF7CB0" w:rsidRDefault="008F1EC3" w:rsidP="008F1EC3">
      <w:pPr>
        <w:pStyle w:val="NoSpacing"/>
        <w:rPr>
          <w:rFonts w:ascii="Arial" w:hAnsi="Arial" w:cs="Arial"/>
          <w:color w:val="000000" w:themeColor="text1"/>
        </w:rPr>
      </w:pPr>
    </w:p>
    <w:p w14:paraId="2CC1EE71" w14:textId="2552E3B5" w:rsidR="008F1EC3" w:rsidRPr="00EF7CB0" w:rsidRDefault="008F1EC3" w:rsidP="008F1EC3">
      <w:pPr>
        <w:pStyle w:val="NoSpacing"/>
        <w:rPr>
          <w:rFonts w:ascii="Arial" w:hAnsi="Arial" w:cs="Arial"/>
          <w:color w:val="000000" w:themeColor="text1"/>
        </w:rPr>
      </w:pPr>
      <w:r w:rsidRPr="00EF7CB0">
        <w:rPr>
          <w:rFonts w:ascii="Arial" w:hAnsi="Arial" w:cs="Arial"/>
          <w:color w:val="000000" w:themeColor="text1"/>
        </w:rPr>
        <w:t>The new COMET release is immediately available to all subscribers.</w:t>
      </w:r>
    </w:p>
    <w:p w14:paraId="5DF67603" w14:textId="77777777" w:rsidR="008F1EC3" w:rsidRPr="00EF7CB0" w:rsidRDefault="008F1EC3" w:rsidP="008F1EC3">
      <w:pPr>
        <w:pStyle w:val="NoSpacing"/>
        <w:rPr>
          <w:rFonts w:ascii="Arial" w:hAnsi="Arial" w:cs="Arial"/>
          <w:color w:val="000000" w:themeColor="text1"/>
        </w:rPr>
      </w:pPr>
    </w:p>
    <w:p w14:paraId="531A36D7" w14:textId="0AD83B00" w:rsidR="008F1EC3" w:rsidRPr="00EF7CB0" w:rsidRDefault="008F1EC3" w:rsidP="008F1EC3">
      <w:pPr>
        <w:pStyle w:val="NoSpacing"/>
        <w:rPr>
          <w:rFonts w:ascii="Arial" w:hAnsi="Arial" w:cs="Arial"/>
          <w:color w:val="000000" w:themeColor="text1"/>
        </w:rPr>
      </w:pPr>
      <w:r w:rsidRPr="00EF7CB0">
        <w:rPr>
          <w:rFonts w:ascii="Arial" w:hAnsi="Arial" w:cs="Arial"/>
          <w:color w:val="000000" w:themeColor="text1"/>
        </w:rPr>
        <w:t>Said Jon Olson, CEO of TruMarx, "We are excited to deliver this new release of COMET to the energy commodity marketplace. We believe that these new capabilities will help our customers enhance trading efficiency and promote liquidity and growth in emerging energy markets."</w:t>
      </w:r>
    </w:p>
    <w:p w14:paraId="2FB6C992" w14:textId="77777777" w:rsidR="008F1EC3" w:rsidRPr="00EF7CB0" w:rsidRDefault="008F1EC3" w:rsidP="008F1EC3">
      <w:pPr>
        <w:pStyle w:val="NoSpacing"/>
        <w:rPr>
          <w:rFonts w:ascii="Arial" w:hAnsi="Arial" w:cs="Arial"/>
          <w:color w:val="000000" w:themeColor="text1"/>
        </w:rPr>
      </w:pPr>
    </w:p>
    <w:p w14:paraId="2BC84867" w14:textId="77777777" w:rsidR="00F73A8E" w:rsidRPr="00EF7CB0" w:rsidRDefault="00F73A8E" w:rsidP="00393244">
      <w:pPr>
        <w:pStyle w:val="NoSpacing"/>
        <w:rPr>
          <w:rFonts w:ascii="Arial" w:hAnsi="Arial" w:cs="Arial"/>
          <w:b/>
          <w:color w:val="000000" w:themeColor="text1"/>
        </w:rPr>
      </w:pPr>
      <w:r w:rsidRPr="00EF7CB0">
        <w:rPr>
          <w:rFonts w:ascii="Arial" w:hAnsi="Arial" w:cs="Arial"/>
          <w:b/>
          <w:color w:val="000000" w:themeColor="text1"/>
        </w:rPr>
        <w:t>Additional Information</w:t>
      </w:r>
    </w:p>
    <w:p w14:paraId="3D8E4F2A" w14:textId="132A4892" w:rsidR="00BA0910" w:rsidRPr="00EF7CB0" w:rsidRDefault="00BA0910" w:rsidP="00393244">
      <w:pPr>
        <w:pStyle w:val="NoSpacing"/>
        <w:numPr>
          <w:ilvl w:val="0"/>
          <w:numId w:val="14"/>
        </w:numPr>
        <w:rPr>
          <w:rFonts w:ascii="Arial" w:hAnsi="Arial" w:cs="Arial"/>
          <w:color w:val="000000" w:themeColor="text1"/>
        </w:rPr>
      </w:pPr>
      <w:r w:rsidRPr="00EF7CB0">
        <w:rPr>
          <w:rFonts w:ascii="Arial" w:hAnsi="Arial" w:cs="Arial"/>
          <w:color w:val="000000" w:themeColor="text1"/>
        </w:rPr>
        <w:t xml:space="preserve">Connect with </w:t>
      </w:r>
      <w:hyperlink r:id="rId8" w:history="1">
        <w:r w:rsidR="00EF7CB0" w:rsidRPr="0093722A">
          <w:rPr>
            <w:rStyle w:val="Hyperlink"/>
            <w:rFonts w:ascii="Arial" w:hAnsi="Arial" w:cs="Arial"/>
          </w:rPr>
          <w:t>our Market Advocates</w:t>
        </w:r>
      </w:hyperlink>
      <w:bookmarkStart w:id="0" w:name="_GoBack"/>
      <w:bookmarkEnd w:id="0"/>
      <w:r w:rsidRPr="00EF7CB0">
        <w:rPr>
          <w:rFonts w:ascii="Arial" w:hAnsi="Arial" w:cs="Arial"/>
          <w:color w:val="000000" w:themeColor="text1"/>
        </w:rPr>
        <w:t xml:space="preserve"> on LinkedIn</w:t>
      </w:r>
    </w:p>
    <w:p w14:paraId="177FDD7F" w14:textId="77777777" w:rsidR="00F73A8E" w:rsidRPr="00893414" w:rsidRDefault="00F73A8E" w:rsidP="00393244">
      <w:pPr>
        <w:pStyle w:val="NoSpacing"/>
        <w:numPr>
          <w:ilvl w:val="0"/>
          <w:numId w:val="14"/>
        </w:numPr>
        <w:rPr>
          <w:rFonts w:ascii="Arial" w:hAnsi="Arial" w:cs="Arial"/>
        </w:rPr>
      </w:pPr>
      <w:r w:rsidRPr="00893414">
        <w:rPr>
          <w:rFonts w:ascii="Arial" w:hAnsi="Arial" w:cs="Arial"/>
        </w:rPr>
        <w:t xml:space="preserve">Learn more about </w:t>
      </w:r>
      <w:hyperlink r:id="rId9" w:history="1">
        <w:r w:rsidR="00BA0910" w:rsidRPr="00BA0910">
          <w:rPr>
            <w:rStyle w:val="Hyperlink"/>
            <w:rFonts w:ascii="Arial" w:hAnsi="Arial" w:cs="Arial"/>
          </w:rPr>
          <w:t>the innovative COMET platform</w:t>
        </w:r>
      </w:hyperlink>
      <w:r w:rsidRPr="00893414">
        <w:rPr>
          <w:rFonts w:ascii="Arial" w:hAnsi="Arial" w:cs="Arial"/>
        </w:rPr>
        <w:t xml:space="preserve"> </w:t>
      </w:r>
    </w:p>
    <w:p w14:paraId="1F60FF72" w14:textId="16DC9B51" w:rsidR="00F73A8E" w:rsidRPr="00893414" w:rsidRDefault="00BA0910" w:rsidP="00393244">
      <w:pPr>
        <w:pStyle w:val="NoSpacing"/>
        <w:numPr>
          <w:ilvl w:val="0"/>
          <w:numId w:val="14"/>
        </w:numPr>
        <w:rPr>
          <w:rFonts w:ascii="Arial" w:hAnsi="Arial" w:cs="Arial"/>
        </w:rPr>
      </w:pPr>
      <w:r>
        <w:rPr>
          <w:rFonts w:ascii="Arial" w:hAnsi="Arial" w:cs="Arial"/>
        </w:rPr>
        <w:t xml:space="preserve">Read how </w:t>
      </w:r>
      <w:hyperlink r:id="rId10" w:history="1">
        <w:proofErr w:type="spellStart"/>
        <w:r w:rsidR="00EF7CB0">
          <w:rPr>
            <w:rStyle w:val="Hyperlink"/>
            <w:rFonts w:ascii="Arial" w:hAnsi="Arial" w:cs="Arial"/>
          </w:rPr>
          <w:t>Enstor</w:t>
        </w:r>
        <w:proofErr w:type="spellEnd"/>
      </w:hyperlink>
      <w:r>
        <w:rPr>
          <w:rFonts w:ascii="Arial" w:hAnsi="Arial" w:cs="Arial"/>
        </w:rPr>
        <w:t xml:space="preserve"> </w:t>
      </w:r>
      <w:r w:rsidR="00EF7CB0">
        <w:rPr>
          <w:rFonts w:ascii="Arial" w:hAnsi="Arial" w:cs="Arial"/>
        </w:rPr>
        <w:t>streamlined trading efficiency with COMET</w:t>
      </w:r>
    </w:p>
    <w:p w14:paraId="673475A1" w14:textId="77777777" w:rsidR="00F73A8E" w:rsidRPr="00893414" w:rsidRDefault="00F73A8E" w:rsidP="00393244">
      <w:pPr>
        <w:pStyle w:val="NoSpacing"/>
        <w:rPr>
          <w:rFonts w:ascii="Arial" w:hAnsi="Arial" w:cs="Arial"/>
          <w:b/>
          <w:color w:val="121D26"/>
        </w:rPr>
      </w:pPr>
    </w:p>
    <w:p w14:paraId="62918AB0" w14:textId="77777777" w:rsidR="00424BB1" w:rsidRPr="00F712C4" w:rsidRDefault="00424BB1" w:rsidP="00424BB1">
      <w:pPr>
        <w:pStyle w:val="NoSpacing"/>
        <w:rPr>
          <w:rFonts w:ascii="Arial" w:hAnsi="Arial" w:cs="Arial"/>
          <w:b/>
          <w:color w:val="000000" w:themeColor="text1"/>
        </w:rPr>
      </w:pPr>
      <w:r w:rsidRPr="00F712C4">
        <w:rPr>
          <w:rFonts w:ascii="Arial" w:hAnsi="Arial" w:cs="Arial"/>
          <w:b/>
          <w:color w:val="000000" w:themeColor="text1"/>
        </w:rPr>
        <w:t>About TruMarx Data Partners</w:t>
      </w:r>
    </w:p>
    <w:p w14:paraId="182A316A" w14:textId="1712106E" w:rsidR="00424BB1" w:rsidRPr="00EF7CB0" w:rsidRDefault="001C532B" w:rsidP="00424BB1">
      <w:pPr>
        <w:pStyle w:val="NoSpacing"/>
        <w:rPr>
          <w:rFonts w:ascii="Arial" w:hAnsi="Arial" w:cs="Arial"/>
          <w:color w:val="000000" w:themeColor="text1"/>
        </w:rPr>
      </w:pPr>
      <w:r w:rsidRPr="00EF7CB0">
        <w:rPr>
          <w:rFonts w:ascii="Arial" w:hAnsi="Arial" w:cs="Arial"/>
          <w:color w:val="000000" w:themeColor="text1"/>
        </w:rPr>
        <w:t xml:space="preserve">Headquartered in Chicago, TruMarx Data Partners, Inc. delivers powerful technology solutions for today’s demanding energy markets. TruMarx helps global energy players increase profitability, streamline compliance and trading efficiency and gain compelling, competitive advantage. The company’s flagship product, COMET, </w:t>
      </w:r>
      <w:r w:rsidR="00820703" w:rsidRPr="00EF7CB0">
        <w:rPr>
          <w:rFonts w:ascii="Arial" w:hAnsi="Arial" w:cs="Arial"/>
          <w:color w:val="000000" w:themeColor="text1"/>
        </w:rPr>
        <w:t xml:space="preserve">is an innovative cloud software platform that enables both buyers and sellers to execute bilateral OTC transactions with confidence, control and compliance. </w:t>
      </w:r>
    </w:p>
    <w:p w14:paraId="2B0D0CC7" w14:textId="77777777" w:rsidR="005168E3" w:rsidRPr="00EF7CB0" w:rsidRDefault="005168E3" w:rsidP="00424BB1">
      <w:pPr>
        <w:pStyle w:val="NoSpacing"/>
        <w:rPr>
          <w:rFonts w:ascii="Arial" w:hAnsi="Arial" w:cs="Arial"/>
          <w:color w:val="000000" w:themeColor="text1"/>
        </w:rPr>
      </w:pPr>
    </w:p>
    <w:p w14:paraId="25B67DCF" w14:textId="109E7E96" w:rsidR="00F73A8E" w:rsidRPr="00EF7CB0" w:rsidRDefault="00424BB1" w:rsidP="00424BB1">
      <w:pPr>
        <w:pStyle w:val="NoSpacing"/>
        <w:rPr>
          <w:rFonts w:ascii="Arial" w:hAnsi="Arial" w:cs="Arial"/>
          <w:color w:val="000000" w:themeColor="text1"/>
        </w:rPr>
      </w:pPr>
      <w:r w:rsidRPr="00EF7CB0">
        <w:rPr>
          <w:rFonts w:ascii="Arial" w:hAnsi="Arial" w:cs="Arial"/>
          <w:color w:val="000000" w:themeColor="text1"/>
        </w:rPr>
        <w:t xml:space="preserve">For more information on TruMarx or COMET visit www.trumarx.com or call </w:t>
      </w:r>
      <w:r w:rsidR="00713C06" w:rsidRPr="00EF7CB0">
        <w:rPr>
          <w:rFonts w:ascii="Arial" w:hAnsi="Arial" w:cs="Arial"/>
          <w:color w:val="000000" w:themeColor="text1"/>
        </w:rPr>
        <w:t>1-800-TRUMARX.</w:t>
      </w:r>
    </w:p>
    <w:p w14:paraId="650540EB" w14:textId="77777777" w:rsidR="00424BB1" w:rsidRPr="00893414" w:rsidRDefault="00424BB1" w:rsidP="00424BB1">
      <w:pPr>
        <w:pStyle w:val="NoSpacing"/>
        <w:rPr>
          <w:rFonts w:ascii="Arial" w:hAnsi="Arial" w:cs="Arial"/>
          <w:b/>
        </w:rPr>
      </w:pPr>
    </w:p>
    <w:p w14:paraId="15986598" w14:textId="77777777" w:rsidR="00F73A8E" w:rsidRPr="00893414" w:rsidRDefault="00424BB1" w:rsidP="00393244">
      <w:pPr>
        <w:pStyle w:val="NoSpacing"/>
        <w:rPr>
          <w:rFonts w:ascii="Arial" w:hAnsi="Arial" w:cs="Arial"/>
          <w:b/>
        </w:rPr>
      </w:pPr>
      <w:r>
        <w:rPr>
          <w:rFonts w:ascii="Arial" w:hAnsi="Arial" w:cs="Arial"/>
          <w:b/>
        </w:rPr>
        <w:t>Media Contact</w:t>
      </w:r>
    </w:p>
    <w:p w14:paraId="0E7BB089" w14:textId="77777777" w:rsidR="00F73A8E" w:rsidRPr="00893414" w:rsidRDefault="001C1638" w:rsidP="00393244">
      <w:pPr>
        <w:pStyle w:val="NoSpacing"/>
        <w:rPr>
          <w:rFonts w:ascii="Arial" w:hAnsi="Arial" w:cs="Arial"/>
        </w:rPr>
      </w:pPr>
      <w:r>
        <w:rPr>
          <w:rFonts w:ascii="Arial" w:hAnsi="Arial" w:cs="Arial"/>
        </w:rPr>
        <w:t>Mariann McDonagh</w:t>
      </w:r>
      <w:r w:rsidR="00F73A8E" w:rsidRPr="00893414">
        <w:rPr>
          <w:rFonts w:ascii="Arial" w:hAnsi="Arial" w:cs="Arial"/>
        </w:rPr>
        <w:t xml:space="preserve"> </w:t>
      </w:r>
    </w:p>
    <w:p w14:paraId="3A3038CF" w14:textId="77777777" w:rsidR="00F73A8E" w:rsidRPr="00893414" w:rsidRDefault="001C1638" w:rsidP="00393244">
      <w:pPr>
        <w:pStyle w:val="NoSpacing"/>
        <w:rPr>
          <w:rFonts w:ascii="Arial" w:hAnsi="Arial" w:cs="Arial"/>
        </w:rPr>
      </w:pPr>
      <w:r>
        <w:rPr>
          <w:rFonts w:ascii="Arial" w:hAnsi="Arial" w:cs="Arial"/>
        </w:rPr>
        <w:t>McDonagh Growth Associates</w:t>
      </w:r>
    </w:p>
    <w:p w14:paraId="67002A26" w14:textId="77777777" w:rsidR="001C1638" w:rsidRDefault="001E5D6C" w:rsidP="00393244">
      <w:pPr>
        <w:pStyle w:val="NoSpacing"/>
        <w:rPr>
          <w:rFonts w:ascii="Arial" w:hAnsi="Arial" w:cs="Arial"/>
        </w:rPr>
      </w:pPr>
      <w:hyperlink r:id="rId11" w:history="1">
        <w:r w:rsidR="001C1638" w:rsidRPr="006870C5">
          <w:rPr>
            <w:rStyle w:val="Hyperlink"/>
            <w:rFonts w:ascii="Arial" w:hAnsi="Arial" w:cs="Arial"/>
          </w:rPr>
          <w:t>mariann@mcdgrowth.com</w:t>
        </w:r>
      </w:hyperlink>
    </w:p>
    <w:p w14:paraId="0C5DE28D" w14:textId="77777777" w:rsidR="00F73A8E" w:rsidRPr="00893414" w:rsidRDefault="001C1638" w:rsidP="00393244">
      <w:pPr>
        <w:pStyle w:val="NoSpacing"/>
        <w:rPr>
          <w:rFonts w:ascii="Arial" w:hAnsi="Arial" w:cs="Arial"/>
        </w:rPr>
      </w:pPr>
      <w:r>
        <w:rPr>
          <w:rFonts w:ascii="Arial" w:hAnsi="Arial" w:cs="Arial"/>
        </w:rPr>
        <w:t>516-672-8182</w:t>
      </w:r>
    </w:p>
    <w:p w14:paraId="08C90089" w14:textId="77777777" w:rsidR="005451D5" w:rsidRPr="00893414" w:rsidRDefault="005451D5" w:rsidP="00F73A8E">
      <w:pPr>
        <w:pStyle w:val="NoSpacing"/>
        <w:rPr>
          <w:rFonts w:ascii="Arial" w:hAnsi="Arial" w:cs="Arial"/>
        </w:rPr>
      </w:pPr>
    </w:p>
    <w:sectPr w:rsidR="005451D5" w:rsidRPr="00893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03F87" w14:textId="77777777" w:rsidR="001E5D6C" w:rsidRDefault="001E5D6C" w:rsidP="00B83BC3">
      <w:pPr>
        <w:spacing w:after="0" w:line="240" w:lineRule="auto"/>
      </w:pPr>
      <w:r>
        <w:separator/>
      </w:r>
    </w:p>
  </w:endnote>
  <w:endnote w:type="continuationSeparator" w:id="0">
    <w:p w14:paraId="3AE85B54" w14:textId="77777777" w:rsidR="001E5D6C" w:rsidRDefault="001E5D6C" w:rsidP="00B8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2A672" w14:textId="77777777" w:rsidR="001E5D6C" w:rsidRDefault="001E5D6C" w:rsidP="00B83BC3">
      <w:pPr>
        <w:spacing w:after="0" w:line="240" w:lineRule="auto"/>
      </w:pPr>
      <w:r>
        <w:separator/>
      </w:r>
    </w:p>
  </w:footnote>
  <w:footnote w:type="continuationSeparator" w:id="0">
    <w:p w14:paraId="3BF05AF2" w14:textId="77777777" w:rsidR="001E5D6C" w:rsidRDefault="001E5D6C" w:rsidP="00B83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0C1BAB"/>
    <w:multiLevelType w:val="multilevel"/>
    <w:tmpl w:val="4E4AF03E"/>
    <w:lvl w:ilvl="0">
      <w:start w:val="1"/>
      <w:numFmt w:val="bullet"/>
      <w:lvlText w:val="■"/>
      <w:lvlJc w:val="left"/>
      <w:pPr>
        <w:ind w:left="720" w:firstLine="360"/>
      </w:pPr>
      <w:rPr>
        <w:rFonts w:ascii="Arial" w:eastAsia="Arial" w:hAnsi="Arial" w:cs="Arial"/>
        <w:b w:val="0"/>
        <w:i w:val="0"/>
        <w:smallCaps w:val="0"/>
        <w:strike w:val="0"/>
        <w:dstrike w:val="0"/>
        <w:color w:val="980000"/>
        <w:sz w:val="20"/>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980000"/>
        <w:sz w:val="20"/>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980000"/>
        <w:sz w:val="20"/>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980000"/>
        <w:sz w:val="20"/>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980000"/>
        <w:sz w:val="20"/>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980000"/>
        <w:sz w:val="20"/>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980000"/>
        <w:sz w:val="20"/>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980000"/>
        <w:sz w:val="20"/>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980000"/>
        <w:sz w:val="20"/>
        <w:u w:val="none"/>
        <w:effect w:val="none"/>
        <w:vertAlign w:val="baseline"/>
      </w:rPr>
    </w:lvl>
  </w:abstractNum>
  <w:abstractNum w:abstractNumId="2">
    <w:nsid w:val="0ABD1517"/>
    <w:multiLevelType w:val="hybridMultilevel"/>
    <w:tmpl w:val="7AB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C4761"/>
    <w:multiLevelType w:val="hybridMultilevel"/>
    <w:tmpl w:val="17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F0465"/>
    <w:multiLevelType w:val="hybridMultilevel"/>
    <w:tmpl w:val="93324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0C2CA6"/>
    <w:multiLevelType w:val="hybridMultilevel"/>
    <w:tmpl w:val="2D02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D2251"/>
    <w:multiLevelType w:val="hybridMultilevel"/>
    <w:tmpl w:val="84C8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C69F8"/>
    <w:multiLevelType w:val="hybridMultilevel"/>
    <w:tmpl w:val="0DA6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E7C91"/>
    <w:multiLevelType w:val="hybridMultilevel"/>
    <w:tmpl w:val="89B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91095"/>
    <w:multiLevelType w:val="hybridMultilevel"/>
    <w:tmpl w:val="C638E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EB310A5"/>
    <w:multiLevelType w:val="multilevel"/>
    <w:tmpl w:val="90AE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90D69"/>
    <w:multiLevelType w:val="hybridMultilevel"/>
    <w:tmpl w:val="C7F20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0A11B2D"/>
    <w:multiLevelType w:val="hybridMultilevel"/>
    <w:tmpl w:val="971C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8031AF"/>
    <w:multiLevelType w:val="hybridMultilevel"/>
    <w:tmpl w:val="6FC687C8"/>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C8429C"/>
    <w:multiLevelType w:val="hybridMultilevel"/>
    <w:tmpl w:val="2EC6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596981"/>
    <w:multiLevelType w:val="hybridMultilevel"/>
    <w:tmpl w:val="822EA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11"/>
  </w:num>
  <w:num w:numId="5">
    <w:abstractNumId w:val="15"/>
  </w:num>
  <w:num w:numId="6">
    <w:abstractNumId w:val="9"/>
  </w:num>
  <w:num w:numId="7">
    <w:abstractNumId w:val="1"/>
  </w:num>
  <w:num w:numId="8">
    <w:abstractNumId w:val="0"/>
  </w:num>
  <w:num w:numId="9">
    <w:abstractNumId w:val="4"/>
  </w:num>
  <w:num w:numId="10">
    <w:abstractNumId w:val="10"/>
  </w:num>
  <w:num w:numId="11">
    <w:abstractNumId w:val="13"/>
  </w:num>
  <w:num w:numId="12">
    <w:abstractNumId w:val="5"/>
  </w:num>
  <w:num w:numId="13">
    <w:abstractNumId w:val="3"/>
  </w:num>
  <w:num w:numId="14">
    <w:abstractNumId w:val="12"/>
  </w:num>
  <w:num w:numId="15">
    <w:abstractNumId w:val="6"/>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79"/>
    <w:rsid w:val="00005E05"/>
    <w:rsid w:val="00012969"/>
    <w:rsid w:val="000158EA"/>
    <w:rsid w:val="00016EE2"/>
    <w:rsid w:val="00024C85"/>
    <w:rsid w:val="000623B3"/>
    <w:rsid w:val="000730FE"/>
    <w:rsid w:val="00085599"/>
    <w:rsid w:val="00087F5C"/>
    <w:rsid w:val="00090045"/>
    <w:rsid w:val="00091C7C"/>
    <w:rsid w:val="00093C4E"/>
    <w:rsid w:val="000A04FB"/>
    <w:rsid w:val="000A4613"/>
    <w:rsid w:val="000A7726"/>
    <w:rsid w:val="000B0CF9"/>
    <w:rsid w:val="000C2330"/>
    <w:rsid w:val="000E668C"/>
    <w:rsid w:val="000F5EF0"/>
    <w:rsid w:val="00123E7A"/>
    <w:rsid w:val="001257E6"/>
    <w:rsid w:val="00133D47"/>
    <w:rsid w:val="0014503B"/>
    <w:rsid w:val="001460F0"/>
    <w:rsid w:val="00150267"/>
    <w:rsid w:val="00161C30"/>
    <w:rsid w:val="001801C2"/>
    <w:rsid w:val="001833B5"/>
    <w:rsid w:val="001856CB"/>
    <w:rsid w:val="001859DC"/>
    <w:rsid w:val="001B24F7"/>
    <w:rsid w:val="001C15FE"/>
    <w:rsid w:val="001C1638"/>
    <w:rsid w:val="001C16B7"/>
    <w:rsid w:val="001C44FD"/>
    <w:rsid w:val="001C532B"/>
    <w:rsid w:val="001D1488"/>
    <w:rsid w:val="001D49E4"/>
    <w:rsid w:val="001D67F1"/>
    <w:rsid w:val="001E199E"/>
    <w:rsid w:val="001E5D6C"/>
    <w:rsid w:val="001F7630"/>
    <w:rsid w:val="00201495"/>
    <w:rsid w:val="00204A91"/>
    <w:rsid w:val="00204B0A"/>
    <w:rsid w:val="00211180"/>
    <w:rsid w:val="002214EA"/>
    <w:rsid w:val="00223E89"/>
    <w:rsid w:val="00223F04"/>
    <w:rsid w:val="00232619"/>
    <w:rsid w:val="00237151"/>
    <w:rsid w:val="00247C13"/>
    <w:rsid w:val="00261910"/>
    <w:rsid w:val="00264C2D"/>
    <w:rsid w:val="00280C3D"/>
    <w:rsid w:val="0028140F"/>
    <w:rsid w:val="00281CCF"/>
    <w:rsid w:val="002845C2"/>
    <w:rsid w:val="0029172C"/>
    <w:rsid w:val="002918B1"/>
    <w:rsid w:val="002A2B75"/>
    <w:rsid w:val="002A2E81"/>
    <w:rsid w:val="002A378F"/>
    <w:rsid w:val="002A5072"/>
    <w:rsid w:val="002B3834"/>
    <w:rsid w:val="002C6EED"/>
    <w:rsid w:val="002D1713"/>
    <w:rsid w:val="002D1966"/>
    <w:rsid w:val="002D65CE"/>
    <w:rsid w:val="002E61B5"/>
    <w:rsid w:val="002F4F73"/>
    <w:rsid w:val="002F51E7"/>
    <w:rsid w:val="002F6B61"/>
    <w:rsid w:val="003111A3"/>
    <w:rsid w:val="00312656"/>
    <w:rsid w:val="00323DD6"/>
    <w:rsid w:val="0032653D"/>
    <w:rsid w:val="00327F79"/>
    <w:rsid w:val="00343F7E"/>
    <w:rsid w:val="00363000"/>
    <w:rsid w:val="0037071D"/>
    <w:rsid w:val="003908B0"/>
    <w:rsid w:val="00391418"/>
    <w:rsid w:val="00393244"/>
    <w:rsid w:val="003A5385"/>
    <w:rsid w:val="003C7238"/>
    <w:rsid w:val="003E3C0E"/>
    <w:rsid w:val="003F1C54"/>
    <w:rsid w:val="00410A58"/>
    <w:rsid w:val="00410E0B"/>
    <w:rsid w:val="00413BF0"/>
    <w:rsid w:val="004159F6"/>
    <w:rsid w:val="00421E1D"/>
    <w:rsid w:val="00424BB1"/>
    <w:rsid w:val="004314C8"/>
    <w:rsid w:val="00434D90"/>
    <w:rsid w:val="004379BD"/>
    <w:rsid w:val="00467BB5"/>
    <w:rsid w:val="0047196B"/>
    <w:rsid w:val="0047509A"/>
    <w:rsid w:val="00476FF9"/>
    <w:rsid w:val="004961E7"/>
    <w:rsid w:val="004A07FF"/>
    <w:rsid w:val="004A682D"/>
    <w:rsid w:val="004C06D1"/>
    <w:rsid w:val="004C3B4B"/>
    <w:rsid w:val="004D5BA0"/>
    <w:rsid w:val="004E138B"/>
    <w:rsid w:val="00501058"/>
    <w:rsid w:val="0051392A"/>
    <w:rsid w:val="00514341"/>
    <w:rsid w:val="005168E3"/>
    <w:rsid w:val="005318B6"/>
    <w:rsid w:val="005451D5"/>
    <w:rsid w:val="00553E3C"/>
    <w:rsid w:val="0057373E"/>
    <w:rsid w:val="00595376"/>
    <w:rsid w:val="005963F4"/>
    <w:rsid w:val="005B1F28"/>
    <w:rsid w:val="005C0ECF"/>
    <w:rsid w:val="005E5B9D"/>
    <w:rsid w:val="00611907"/>
    <w:rsid w:val="00624248"/>
    <w:rsid w:val="00624AB3"/>
    <w:rsid w:val="006272F0"/>
    <w:rsid w:val="00632BDD"/>
    <w:rsid w:val="00640E51"/>
    <w:rsid w:val="006456B7"/>
    <w:rsid w:val="006460DE"/>
    <w:rsid w:val="00652D2A"/>
    <w:rsid w:val="0067311B"/>
    <w:rsid w:val="00674FBD"/>
    <w:rsid w:val="00686992"/>
    <w:rsid w:val="0068729B"/>
    <w:rsid w:val="006A6311"/>
    <w:rsid w:val="006C4D55"/>
    <w:rsid w:val="006E4F3C"/>
    <w:rsid w:val="006F05AF"/>
    <w:rsid w:val="006F06D8"/>
    <w:rsid w:val="006F1DC7"/>
    <w:rsid w:val="006F78D5"/>
    <w:rsid w:val="007013F6"/>
    <w:rsid w:val="0070390B"/>
    <w:rsid w:val="007055FF"/>
    <w:rsid w:val="00707CB9"/>
    <w:rsid w:val="00710418"/>
    <w:rsid w:val="00713C06"/>
    <w:rsid w:val="0071711C"/>
    <w:rsid w:val="007203B7"/>
    <w:rsid w:val="007275CE"/>
    <w:rsid w:val="00733198"/>
    <w:rsid w:val="0076266D"/>
    <w:rsid w:val="0076608C"/>
    <w:rsid w:val="007665B1"/>
    <w:rsid w:val="00767EE2"/>
    <w:rsid w:val="00774B6A"/>
    <w:rsid w:val="00781F72"/>
    <w:rsid w:val="007934A4"/>
    <w:rsid w:val="007979C5"/>
    <w:rsid w:val="007B3683"/>
    <w:rsid w:val="007B45E5"/>
    <w:rsid w:val="007C5E49"/>
    <w:rsid w:val="007C7767"/>
    <w:rsid w:val="007D7E9B"/>
    <w:rsid w:val="00800306"/>
    <w:rsid w:val="008105B1"/>
    <w:rsid w:val="00815776"/>
    <w:rsid w:val="008206EE"/>
    <w:rsid w:val="00820703"/>
    <w:rsid w:val="00834512"/>
    <w:rsid w:val="00840CC2"/>
    <w:rsid w:val="008441FA"/>
    <w:rsid w:val="008466B4"/>
    <w:rsid w:val="00846A40"/>
    <w:rsid w:val="008502AE"/>
    <w:rsid w:val="008556E6"/>
    <w:rsid w:val="00856C47"/>
    <w:rsid w:val="0087087B"/>
    <w:rsid w:val="00870A48"/>
    <w:rsid w:val="00871A0D"/>
    <w:rsid w:val="00874034"/>
    <w:rsid w:val="00877A40"/>
    <w:rsid w:val="00885E3B"/>
    <w:rsid w:val="00885F0D"/>
    <w:rsid w:val="00893414"/>
    <w:rsid w:val="0089445B"/>
    <w:rsid w:val="008A0D90"/>
    <w:rsid w:val="008A7A45"/>
    <w:rsid w:val="008B215D"/>
    <w:rsid w:val="008B3DAF"/>
    <w:rsid w:val="008D1D41"/>
    <w:rsid w:val="008E1479"/>
    <w:rsid w:val="008E1935"/>
    <w:rsid w:val="008F1EC3"/>
    <w:rsid w:val="008F6D93"/>
    <w:rsid w:val="0091521F"/>
    <w:rsid w:val="0091653E"/>
    <w:rsid w:val="00926B47"/>
    <w:rsid w:val="00927AA4"/>
    <w:rsid w:val="00930856"/>
    <w:rsid w:val="00930D53"/>
    <w:rsid w:val="0093722A"/>
    <w:rsid w:val="009415D0"/>
    <w:rsid w:val="009553A3"/>
    <w:rsid w:val="0096091E"/>
    <w:rsid w:val="00967E5F"/>
    <w:rsid w:val="0098157B"/>
    <w:rsid w:val="00987CD7"/>
    <w:rsid w:val="00990B89"/>
    <w:rsid w:val="009A4C01"/>
    <w:rsid w:val="009A5F25"/>
    <w:rsid w:val="009A7D67"/>
    <w:rsid w:val="009B1EA4"/>
    <w:rsid w:val="009B6002"/>
    <w:rsid w:val="009C1F24"/>
    <w:rsid w:val="009C2234"/>
    <w:rsid w:val="009C56DF"/>
    <w:rsid w:val="009C6CF6"/>
    <w:rsid w:val="009D0BB3"/>
    <w:rsid w:val="009D62EB"/>
    <w:rsid w:val="009E01B4"/>
    <w:rsid w:val="009F0A6D"/>
    <w:rsid w:val="00A64417"/>
    <w:rsid w:val="00A75828"/>
    <w:rsid w:val="00A760F1"/>
    <w:rsid w:val="00A76CDC"/>
    <w:rsid w:val="00A93DBC"/>
    <w:rsid w:val="00A9795F"/>
    <w:rsid w:val="00AA15A0"/>
    <w:rsid w:val="00AD23A2"/>
    <w:rsid w:val="00AF2867"/>
    <w:rsid w:val="00AF43CB"/>
    <w:rsid w:val="00B00ADC"/>
    <w:rsid w:val="00B05408"/>
    <w:rsid w:val="00B06D00"/>
    <w:rsid w:val="00B1013F"/>
    <w:rsid w:val="00B30ABB"/>
    <w:rsid w:val="00B3616A"/>
    <w:rsid w:val="00B531FF"/>
    <w:rsid w:val="00B600AC"/>
    <w:rsid w:val="00B6544F"/>
    <w:rsid w:val="00B65601"/>
    <w:rsid w:val="00B744CE"/>
    <w:rsid w:val="00B754F4"/>
    <w:rsid w:val="00B83BC3"/>
    <w:rsid w:val="00B87817"/>
    <w:rsid w:val="00BA0910"/>
    <w:rsid w:val="00BA4D19"/>
    <w:rsid w:val="00BA50BA"/>
    <w:rsid w:val="00BB6DF3"/>
    <w:rsid w:val="00BD135C"/>
    <w:rsid w:val="00BD6794"/>
    <w:rsid w:val="00BD7B20"/>
    <w:rsid w:val="00BE1F4A"/>
    <w:rsid w:val="00BE61EE"/>
    <w:rsid w:val="00BF6C45"/>
    <w:rsid w:val="00C119CA"/>
    <w:rsid w:val="00C22440"/>
    <w:rsid w:val="00C331A9"/>
    <w:rsid w:val="00C371A0"/>
    <w:rsid w:val="00C43ECE"/>
    <w:rsid w:val="00C53798"/>
    <w:rsid w:val="00C53E7E"/>
    <w:rsid w:val="00C626E7"/>
    <w:rsid w:val="00C760D9"/>
    <w:rsid w:val="00C87505"/>
    <w:rsid w:val="00C91B78"/>
    <w:rsid w:val="00C93958"/>
    <w:rsid w:val="00C95545"/>
    <w:rsid w:val="00C968AD"/>
    <w:rsid w:val="00CA0F5D"/>
    <w:rsid w:val="00CA13C2"/>
    <w:rsid w:val="00CA7AA1"/>
    <w:rsid w:val="00CA7C29"/>
    <w:rsid w:val="00CB4E58"/>
    <w:rsid w:val="00CE312A"/>
    <w:rsid w:val="00CE5E7C"/>
    <w:rsid w:val="00CF105B"/>
    <w:rsid w:val="00CF6A4F"/>
    <w:rsid w:val="00D06F0A"/>
    <w:rsid w:val="00D12325"/>
    <w:rsid w:val="00D13236"/>
    <w:rsid w:val="00D15FC9"/>
    <w:rsid w:val="00D21BDD"/>
    <w:rsid w:val="00D220F0"/>
    <w:rsid w:val="00D32169"/>
    <w:rsid w:val="00D34499"/>
    <w:rsid w:val="00D44C6C"/>
    <w:rsid w:val="00D67592"/>
    <w:rsid w:val="00D730C0"/>
    <w:rsid w:val="00D77AED"/>
    <w:rsid w:val="00D80CDF"/>
    <w:rsid w:val="00D92386"/>
    <w:rsid w:val="00D941C0"/>
    <w:rsid w:val="00DC084D"/>
    <w:rsid w:val="00DC46D7"/>
    <w:rsid w:val="00DD0100"/>
    <w:rsid w:val="00DD708D"/>
    <w:rsid w:val="00DD783A"/>
    <w:rsid w:val="00DE1599"/>
    <w:rsid w:val="00DE4094"/>
    <w:rsid w:val="00DE41C6"/>
    <w:rsid w:val="00DF139C"/>
    <w:rsid w:val="00E2137D"/>
    <w:rsid w:val="00E24752"/>
    <w:rsid w:val="00E32449"/>
    <w:rsid w:val="00E34C49"/>
    <w:rsid w:val="00E42FDD"/>
    <w:rsid w:val="00E47509"/>
    <w:rsid w:val="00E60F2C"/>
    <w:rsid w:val="00E7773F"/>
    <w:rsid w:val="00E809AA"/>
    <w:rsid w:val="00E84364"/>
    <w:rsid w:val="00E85743"/>
    <w:rsid w:val="00E946D5"/>
    <w:rsid w:val="00EA5CB5"/>
    <w:rsid w:val="00EB3E80"/>
    <w:rsid w:val="00EC5282"/>
    <w:rsid w:val="00ED41E8"/>
    <w:rsid w:val="00EE1F7D"/>
    <w:rsid w:val="00EF04A4"/>
    <w:rsid w:val="00EF7CB0"/>
    <w:rsid w:val="00F00C58"/>
    <w:rsid w:val="00F05F22"/>
    <w:rsid w:val="00F07672"/>
    <w:rsid w:val="00F122A8"/>
    <w:rsid w:val="00F20999"/>
    <w:rsid w:val="00F22AB1"/>
    <w:rsid w:val="00F26CB8"/>
    <w:rsid w:val="00F3220E"/>
    <w:rsid w:val="00F50E1C"/>
    <w:rsid w:val="00F5261C"/>
    <w:rsid w:val="00F541DF"/>
    <w:rsid w:val="00F570CA"/>
    <w:rsid w:val="00F630A2"/>
    <w:rsid w:val="00F712C4"/>
    <w:rsid w:val="00F7264D"/>
    <w:rsid w:val="00F73A8E"/>
    <w:rsid w:val="00F75931"/>
    <w:rsid w:val="00F77316"/>
    <w:rsid w:val="00F7767F"/>
    <w:rsid w:val="00F87FC8"/>
    <w:rsid w:val="00F90E4F"/>
    <w:rsid w:val="00F92089"/>
    <w:rsid w:val="00FA1854"/>
    <w:rsid w:val="00FC486E"/>
    <w:rsid w:val="00FD22A6"/>
    <w:rsid w:val="00FE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70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79"/>
    <w:pPr>
      <w:spacing w:after="0" w:line="240" w:lineRule="auto"/>
      <w:ind w:left="720"/>
    </w:pPr>
    <w:rPr>
      <w:rFonts w:ascii="Calibri" w:hAnsi="Calibri" w:cs="Times New Roman"/>
    </w:rPr>
  </w:style>
  <w:style w:type="character" w:styleId="Hyperlink">
    <w:name w:val="Hyperlink"/>
    <w:basedOn w:val="DefaultParagraphFont"/>
    <w:uiPriority w:val="99"/>
    <w:unhideWhenUsed/>
    <w:rsid w:val="000F5EF0"/>
    <w:rPr>
      <w:color w:val="0000FF" w:themeColor="hyperlink"/>
      <w:u w:val="single"/>
    </w:rPr>
  </w:style>
  <w:style w:type="paragraph" w:styleId="Header">
    <w:name w:val="header"/>
    <w:basedOn w:val="Normal"/>
    <w:link w:val="HeaderChar"/>
    <w:uiPriority w:val="99"/>
    <w:unhideWhenUsed/>
    <w:rsid w:val="00B83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BC3"/>
  </w:style>
  <w:style w:type="paragraph" w:styleId="Footer">
    <w:name w:val="footer"/>
    <w:basedOn w:val="Normal"/>
    <w:link w:val="FooterChar"/>
    <w:uiPriority w:val="99"/>
    <w:unhideWhenUsed/>
    <w:rsid w:val="00B83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BC3"/>
  </w:style>
  <w:style w:type="character" w:styleId="CommentReference">
    <w:name w:val="annotation reference"/>
    <w:basedOn w:val="DefaultParagraphFont"/>
    <w:uiPriority w:val="99"/>
    <w:semiHidden/>
    <w:unhideWhenUsed/>
    <w:rsid w:val="001C16B7"/>
    <w:rPr>
      <w:sz w:val="18"/>
      <w:szCs w:val="18"/>
    </w:rPr>
  </w:style>
  <w:style w:type="paragraph" w:styleId="CommentText">
    <w:name w:val="annotation text"/>
    <w:basedOn w:val="Normal"/>
    <w:link w:val="CommentTextChar"/>
    <w:uiPriority w:val="99"/>
    <w:semiHidden/>
    <w:unhideWhenUsed/>
    <w:rsid w:val="001C16B7"/>
    <w:pPr>
      <w:spacing w:line="240" w:lineRule="auto"/>
    </w:pPr>
    <w:rPr>
      <w:sz w:val="24"/>
      <w:szCs w:val="24"/>
    </w:rPr>
  </w:style>
  <w:style w:type="character" w:customStyle="1" w:styleId="CommentTextChar">
    <w:name w:val="Comment Text Char"/>
    <w:basedOn w:val="DefaultParagraphFont"/>
    <w:link w:val="CommentText"/>
    <w:uiPriority w:val="99"/>
    <w:semiHidden/>
    <w:rsid w:val="001C16B7"/>
    <w:rPr>
      <w:sz w:val="24"/>
      <w:szCs w:val="24"/>
    </w:rPr>
  </w:style>
  <w:style w:type="paragraph" w:styleId="CommentSubject">
    <w:name w:val="annotation subject"/>
    <w:basedOn w:val="CommentText"/>
    <w:next w:val="CommentText"/>
    <w:link w:val="CommentSubjectChar"/>
    <w:uiPriority w:val="99"/>
    <w:semiHidden/>
    <w:unhideWhenUsed/>
    <w:rsid w:val="001C16B7"/>
    <w:rPr>
      <w:b/>
      <w:bCs/>
      <w:sz w:val="20"/>
      <w:szCs w:val="20"/>
    </w:rPr>
  </w:style>
  <w:style w:type="character" w:customStyle="1" w:styleId="CommentSubjectChar">
    <w:name w:val="Comment Subject Char"/>
    <w:basedOn w:val="CommentTextChar"/>
    <w:link w:val="CommentSubject"/>
    <w:uiPriority w:val="99"/>
    <w:semiHidden/>
    <w:rsid w:val="001C16B7"/>
    <w:rPr>
      <w:b/>
      <w:bCs/>
      <w:sz w:val="20"/>
      <w:szCs w:val="20"/>
    </w:rPr>
  </w:style>
  <w:style w:type="paragraph" w:styleId="BalloonText">
    <w:name w:val="Balloon Text"/>
    <w:basedOn w:val="Normal"/>
    <w:link w:val="BalloonTextChar"/>
    <w:uiPriority w:val="99"/>
    <w:semiHidden/>
    <w:unhideWhenUsed/>
    <w:rsid w:val="001C16B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16B7"/>
    <w:rPr>
      <w:rFonts w:ascii="Lucida Grande" w:hAnsi="Lucida Grande"/>
      <w:sz w:val="18"/>
      <w:szCs w:val="18"/>
    </w:rPr>
  </w:style>
  <w:style w:type="character" w:customStyle="1" w:styleId="apple-converted-space">
    <w:name w:val="apple-converted-space"/>
    <w:basedOn w:val="DefaultParagraphFont"/>
    <w:rsid w:val="009B1EA4"/>
  </w:style>
  <w:style w:type="paragraph" w:styleId="NoSpacing">
    <w:name w:val="No Spacing"/>
    <w:uiPriority w:val="1"/>
    <w:qFormat/>
    <w:rsid w:val="002214EA"/>
    <w:pPr>
      <w:spacing w:after="0" w:line="240" w:lineRule="auto"/>
    </w:pPr>
  </w:style>
  <w:style w:type="paragraph" w:styleId="NormalWeb">
    <w:name w:val="Normal (Web)"/>
    <w:basedOn w:val="Normal"/>
    <w:uiPriority w:val="99"/>
    <w:semiHidden/>
    <w:unhideWhenUsed/>
    <w:rsid w:val="00424BB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54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2381">
      <w:bodyDiv w:val="1"/>
      <w:marLeft w:val="0"/>
      <w:marRight w:val="0"/>
      <w:marTop w:val="0"/>
      <w:marBottom w:val="0"/>
      <w:divBdr>
        <w:top w:val="none" w:sz="0" w:space="0" w:color="auto"/>
        <w:left w:val="none" w:sz="0" w:space="0" w:color="auto"/>
        <w:bottom w:val="none" w:sz="0" w:space="0" w:color="auto"/>
        <w:right w:val="none" w:sz="0" w:space="0" w:color="auto"/>
      </w:divBdr>
    </w:div>
    <w:div w:id="1433236663">
      <w:bodyDiv w:val="1"/>
      <w:marLeft w:val="0"/>
      <w:marRight w:val="0"/>
      <w:marTop w:val="0"/>
      <w:marBottom w:val="0"/>
      <w:divBdr>
        <w:top w:val="none" w:sz="0" w:space="0" w:color="auto"/>
        <w:left w:val="none" w:sz="0" w:space="0" w:color="auto"/>
        <w:bottom w:val="none" w:sz="0" w:space="0" w:color="auto"/>
        <w:right w:val="none" w:sz="0" w:space="0" w:color="auto"/>
      </w:divBdr>
    </w:div>
    <w:div w:id="1528180946">
      <w:bodyDiv w:val="1"/>
      <w:marLeft w:val="0"/>
      <w:marRight w:val="0"/>
      <w:marTop w:val="0"/>
      <w:marBottom w:val="0"/>
      <w:divBdr>
        <w:top w:val="none" w:sz="0" w:space="0" w:color="auto"/>
        <w:left w:val="none" w:sz="0" w:space="0" w:color="auto"/>
        <w:bottom w:val="none" w:sz="0" w:space="0" w:color="auto"/>
        <w:right w:val="none" w:sz="0" w:space="0" w:color="auto"/>
      </w:divBdr>
    </w:div>
    <w:div w:id="1710838997">
      <w:bodyDiv w:val="1"/>
      <w:marLeft w:val="0"/>
      <w:marRight w:val="0"/>
      <w:marTop w:val="0"/>
      <w:marBottom w:val="0"/>
      <w:divBdr>
        <w:top w:val="none" w:sz="0" w:space="0" w:color="auto"/>
        <w:left w:val="none" w:sz="0" w:space="0" w:color="auto"/>
        <w:bottom w:val="none" w:sz="0" w:space="0" w:color="auto"/>
        <w:right w:val="none" w:sz="0" w:space="0" w:color="auto"/>
      </w:divBdr>
    </w:div>
    <w:div w:id="20944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hris-konrad-93473a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nn@mcdgrowth.com" TargetMode="External"/><Relationship Id="rId5" Type="http://schemas.openxmlformats.org/officeDocument/2006/relationships/footnotes" Target="footnotes.xml"/><Relationship Id="rId10" Type="http://schemas.openxmlformats.org/officeDocument/2006/relationships/hyperlink" Target="http://www.trumarx.com/community/case-studies/" TargetMode="External"/><Relationship Id="rId4" Type="http://schemas.openxmlformats.org/officeDocument/2006/relationships/webSettings" Target="webSettings.xml"/><Relationship Id="rId9" Type="http://schemas.openxmlformats.org/officeDocument/2006/relationships/hyperlink" Target="http://www.trumarx.com/comet/about-co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2016-04-04T21:26:00Z</dcterms:created>
  <dcterms:modified xsi:type="dcterms:W3CDTF">2016-04-04T21:26:00Z</dcterms:modified>
</cp:coreProperties>
</file>