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C2" w:rsidRDefault="00843701">
      <w:hyperlink r:id="rId4" w:history="1">
        <w:r>
          <w:rPr>
            <w:rStyle w:val="Hyperlink"/>
          </w:rPr>
          <w:t>http://www.arteris.com/press-releases/nxp-implements-arteris-ncore-cache-coherent-interconnect-for-heterogeneous-cache-coherency</w:t>
        </w:r>
      </w:hyperlink>
      <w:bookmarkStart w:id="0" w:name="_GoBack"/>
      <w:bookmarkEnd w:id="0"/>
    </w:p>
    <w:sectPr w:rsidR="00081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01"/>
    <w:rsid w:val="000817C2"/>
    <w:rsid w:val="00843701"/>
    <w:rsid w:val="00AB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EDEEB-6F8C-4F95-AC4F-E0346042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37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teris.com/press-releases/nxp-implements-arteris-ncore-cache-coherent-interconnect-for-heterogeneous-cache-cohe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Kinman</dc:creator>
  <cp:keywords/>
  <dc:description/>
  <cp:lastModifiedBy>Michele Kinman</cp:lastModifiedBy>
  <cp:revision>2</cp:revision>
  <dcterms:created xsi:type="dcterms:W3CDTF">2016-05-24T05:48:00Z</dcterms:created>
  <dcterms:modified xsi:type="dcterms:W3CDTF">2016-05-24T05:48:00Z</dcterms:modified>
</cp:coreProperties>
</file>