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7407" w:rsidRDefault="004C1B18" w:rsidP="006631D3">
      <w:pPr>
        <w:widowControl w:val="0"/>
        <w:jc w:val="center"/>
      </w:pPr>
      <w:r>
        <w:rPr>
          <w:noProof/>
        </w:rPr>
        <w:drawing>
          <wp:inline distT="0" distB="0" distL="0" distR="0">
            <wp:extent cx="1571625" cy="6999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PM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98" cy="7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07" w:rsidRPr="00447815" w:rsidRDefault="00A546D7" w:rsidP="00A546D7">
      <w:pPr>
        <w:widowControl w:val="0"/>
        <w:rPr>
          <w:rFonts w:asciiTheme="minorHAnsi" w:hAnsiTheme="minorHAnsi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447815">
        <w:rPr>
          <w:rFonts w:asciiTheme="minorHAnsi" w:hAnsiTheme="minorHAnsi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Press Release</w:t>
      </w:r>
    </w:p>
    <w:tbl>
      <w:tblPr>
        <w:tblStyle w:val="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265"/>
      </w:tblGrid>
      <w:tr w:rsidR="007F7407" w:rsidTr="00142E06">
        <w:trPr>
          <w:trHeight w:val="1411"/>
        </w:trPr>
        <w:tc>
          <w:tcPr>
            <w:tcW w:w="52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6D7" w:rsidRDefault="00A546D7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  <w:rPr>
                <w:b w:val="0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546D7" w:rsidRPr="00A546D7" w:rsidRDefault="00A546D7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  <w:rPr>
                <w:b w:val="0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F7407" w:rsidRPr="00447815" w:rsidRDefault="00A546D7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447815">
              <w:rPr>
                <w:rFonts w:asciiTheme="minorHAnsi" w:hAnsiTheme="minorHAnsi"/>
                <w:b w:val="0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immediate release</w:t>
            </w:r>
          </w:p>
        </w:tc>
        <w:tc>
          <w:tcPr>
            <w:tcW w:w="5265" w:type="dxa"/>
            <w:shd w:val="clear" w:color="auto" w:fill="F3F3F3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7F7407" w:rsidRPr="00447815" w:rsidRDefault="00A546D7">
            <w:pPr>
              <w:pStyle w:val="Heading2"/>
              <w:keepNext w:val="0"/>
              <w:keepLines w:val="0"/>
              <w:widowControl w:val="0"/>
              <w:contextualSpacing w:val="0"/>
              <w:rPr>
                <w:rFonts w:asciiTheme="minorHAnsi" w:hAnsiTheme="minorHAnsi"/>
                <w:b w:val="0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7815">
              <w:rPr>
                <w:rFonts w:asciiTheme="minorHAnsi" w:hAnsiTheme="minorHAnsi"/>
                <w:b w:val="0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person:</w:t>
            </w:r>
          </w:p>
          <w:p w:rsidR="007F7407" w:rsidRPr="00447815" w:rsidRDefault="007807E1">
            <w:pPr>
              <w:widowControl w:val="0"/>
              <w:rPr>
                <w:rFonts w:asciiTheme="minorHAnsi" w:hAnsi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hd w:val="clear" w:color="auto" w:fill="F3F3F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Scott Cascaes, Vice President-Programs</w:t>
            </w:r>
          </w:p>
          <w:p w:rsidR="007F7407" w:rsidRPr="00447815" w:rsidRDefault="004C1B18">
            <w:pPr>
              <w:widowControl w:val="0"/>
              <w:rPr>
                <w:rFonts w:asciiTheme="minorHAnsi" w:hAnsi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7815">
              <w:rPr>
                <w:rFonts w:asciiTheme="minorHAnsi" w:hAnsiTheme="minorHAnsi"/>
                <w:color w:val="000000" w:themeColor="text1"/>
                <w:sz w:val="20"/>
                <w:shd w:val="clear" w:color="auto" w:fill="F3F3F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r w:rsidR="006631D3">
              <w:rPr>
                <w:rFonts w:asciiTheme="minorHAnsi" w:hAnsiTheme="minorHAnsi"/>
                <w:color w:val="000000" w:themeColor="text1"/>
                <w:sz w:val="20"/>
                <w:shd w:val="clear" w:color="auto" w:fill="F3F3F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fice: 480-682-1552</w:t>
            </w:r>
          </w:p>
          <w:p w:rsidR="007F7407" w:rsidRPr="00447815" w:rsidRDefault="004C1B18">
            <w:pPr>
              <w:widowControl w:val="0"/>
              <w:rPr>
                <w:rFonts w:asciiTheme="minorHAnsi" w:hAnsi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7815">
              <w:rPr>
                <w:rFonts w:asciiTheme="minorHAnsi" w:hAnsiTheme="minorHAnsi"/>
                <w:color w:val="000000" w:themeColor="text1"/>
                <w:sz w:val="20"/>
                <w:shd w:val="clear" w:color="auto" w:fill="F3F3F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Email: scascaes@ucpm.com</w:t>
            </w:r>
          </w:p>
          <w:p w:rsidR="007F7407" w:rsidRDefault="004C1B18" w:rsidP="00992B02">
            <w:pPr>
              <w:widowControl w:val="0"/>
              <w:ind w:left="0"/>
            </w:pPr>
            <w:r w:rsidRPr="00447815">
              <w:rPr>
                <w:rFonts w:asciiTheme="minorHAnsi" w:hAnsiTheme="minorHAnsi"/>
                <w:color w:val="000000" w:themeColor="text1"/>
                <w:sz w:val="20"/>
                <w:shd w:val="clear" w:color="auto" w:fill="F3F3F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Website: www.ucpm.com</w:t>
            </w:r>
          </w:p>
        </w:tc>
      </w:tr>
    </w:tbl>
    <w:p w:rsidR="00417CAF" w:rsidRDefault="00417CAF">
      <w:pPr>
        <w:widowControl w:val="0"/>
        <w:ind w:left="0"/>
      </w:pPr>
    </w:p>
    <w:p w:rsidR="00417CAF" w:rsidRPr="00BF0A6D" w:rsidRDefault="00E140D0" w:rsidP="00C223C8">
      <w:pPr>
        <w:widowControl w:val="0"/>
        <w:spacing w:after="200"/>
        <w:jc w:val="center"/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UCPM</w:t>
      </w:r>
      <w:r w:rsidR="008C530C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5116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Environmental </w:t>
      </w:r>
      <w:r w:rsidR="00EE0F3A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Announces New</w:t>
      </w:r>
      <w:r w:rsidR="00AC13E0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530C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EE0F3A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orage Tank </w:t>
      </w:r>
      <w:r w:rsidR="008C530C" w:rsidRPr="00BF0A6D">
        <w:rPr>
          <w:rFonts w:asciiTheme="minorHAnsi" w:hAnsiTheme="minorHAnsi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Program</w:t>
      </w:r>
    </w:p>
    <w:p w:rsidR="00BF0A6D" w:rsidRDefault="00BF0A6D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D65A93" w:rsidRPr="00426F2D" w:rsidRDefault="006631D3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GILBERT, AZ</w:t>
      </w:r>
      <w:r w:rsidR="00447815" w:rsidRPr="0044781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35272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July 8, 2016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781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—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781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UCPM, Inc.</w:t>
      </w:r>
      <w:r w:rsidR="00142E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a leader in the environmental insurance industry</w:t>
      </w:r>
      <w:r w:rsidR="00E140D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4781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ha</w:t>
      </w:r>
      <w:r w:rsidR="00633B8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 partnered with </w:t>
      </w:r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Philadelphia Insurance</w:t>
      </w:r>
      <w:r w:rsidR="004612E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3B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Company (A++ </w:t>
      </w:r>
      <w:r w:rsidR="007645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XV </w:t>
      </w:r>
      <w:r w:rsidR="008A3B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8870C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 member of </w:t>
      </w:r>
      <w:proofErr w:type="spellStart"/>
      <w:r w:rsidR="008870C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Toki</w:t>
      </w:r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</w:t>
      </w:r>
      <w:proofErr w:type="spellEnd"/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Marine Group</w:t>
      </w:r>
      <w:r w:rsidR="008A3B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42E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0F3A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to offer </w:t>
      </w:r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storage tank </w:t>
      </w:r>
      <w:r w:rsidR="001E0DA2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pollution </w:t>
      </w:r>
      <w:r w:rsidR="008A3B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liability coverage</w:t>
      </w:r>
      <w:r w:rsidR="00EE0F3A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F45EE8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This online</w:t>
      </w:r>
      <w:r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program</w:t>
      </w:r>
      <w:r w:rsidR="00EE0F3A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is tailored for</w:t>
      </w:r>
      <w:r w:rsidR="00815116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F2D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commercial underground and aboveground storage tanks.</w:t>
      </w:r>
      <w:r w:rsid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70C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 policy provides c</w:t>
      </w:r>
      <w:r w:rsidR="00BB3659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overage for</w:t>
      </w:r>
      <w:r w:rsidR="00426F2D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1B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on and off-site </w:t>
      </w:r>
      <w:r w:rsidR="00426F2D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third party bodily injury</w:t>
      </w:r>
      <w:r w:rsidR="009A1B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26F2D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property</w:t>
      </w:r>
      <w:r w:rsidR="004612E5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5116" w:rsidRPr="00426F2D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da</w:t>
      </w:r>
      <w:r w:rsidR="008870C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mage</w:t>
      </w:r>
      <w:r w:rsidR="009A1B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and clean-up costs</w:t>
      </w:r>
      <w:r w:rsidR="0043173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from pollution conditions emanating from scheduled underground and aboveground storage tanks.  </w:t>
      </w:r>
      <w:r w:rsidR="00CB6E0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 policy/certificate of insurance issued satisfies federal and state requirements for financial responsibility.</w:t>
      </w:r>
    </w:p>
    <w:p w:rsidR="00417CAF" w:rsidRDefault="00417CAF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13105" w:rsidRDefault="008870C0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This</w:t>
      </w:r>
      <w:r w:rsidR="0018139C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620E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="001E0DA2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storage tank </w:t>
      </w:r>
      <w:r w:rsidR="008E620E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program </w:t>
      </w:r>
      <w:r w:rsidR="001E0DA2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boasts</w:t>
      </w:r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C223C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minimum premium</w:t>
      </w:r>
      <w:r w:rsidR="003C2C3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of $300</w:t>
      </w:r>
      <w:r w:rsidR="0071310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with limits up to $1M per/$2M aggregate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ded</w:t>
      </w:r>
      <w:r w:rsidR="009A1B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uctibles from $5,000 to $25,000</w:t>
      </w:r>
      <w:bookmarkStart w:id="0" w:name="_GoBack"/>
      <w:bookmarkEnd w:id="0"/>
      <w:r w:rsidR="00F45EE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171A1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After</w:t>
      </w:r>
      <w:r w:rsidR="0071310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completing an easy-to-use,</w:t>
      </w:r>
      <w:r w:rsidR="00171A1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3F6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online application,</w:t>
      </w:r>
      <w:r w:rsidR="002D70FA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E06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partner </w:t>
      </w:r>
      <w:r w:rsidR="002D70FA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agents</w:t>
      </w:r>
      <w:r w:rsidR="00713105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EE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immediately receive a </w:t>
      </w:r>
      <w:proofErr w:type="spellStart"/>
      <w:r w:rsidR="00E140D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bindable</w:t>
      </w:r>
      <w:proofErr w:type="spellEnd"/>
      <w:r w:rsidR="00E140D0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EE8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quote coupled with 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 detailed coverage analysis.  This is one of several programs UCPM has planned for release in 2</w:t>
      </w:r>
      <w:r w:rsidR="00C35272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01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6.  “By leveraging our technology and pairing it with meaningful environmental coverage,” said UCPM President, Tim Clegg, “our partner agents can save time and present actual cost savings to their clients.”</w:t>
      </w:r>
    </w:p>
    <w:p w:rsidR="008870C0" w:rsidRDefault="008870C0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C35272" w:rsidRPr="00C35272" w:rsidRDefault="00C35272" w:rsidP="00D65A93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35272">
        <w:rPr>
          <w:rFonts w:asciiTheme="minorHAnsi" w:hAnsiTheme="minorHAnsi"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About UCPM</w:t>
      </w:r>
    </w:p>
    <w:p w:rsidR="007F7407" w:rsidRDefault="00D12F89" w:rsidP="00455919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For over 20 years, UCPM, Inc. has been helping retail insurance agencies across the country meet the environmental needs of their clients.  </w:t>
      </w:r>
      <w:r w:rsidR="00417CAF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UCPM provides the expertise, market representation, levera</w:t>
      </w:r>
      <w:r w:rsidR="00FB167E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ge, technology, and service which</w:t>
      </w:r>
      <w:r w:rsidR="00417CAF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allows our partner agents to </w:t>
      </w:r>
      <w:r w:rsidR="00B24B2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successfully </w:t>
      </w:r>
      <w:r w:rsidR="00417CAF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meet their client’s environmental liability </w:t>
      </w:r>
      <w:r w:rsidR="00FB167E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insurance needs</w:t>
      </w:r>
      <w:r w:rsidR="00417CAF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D65A93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To learn more visit </w:t>
      </w:r>
      <w:hyperlink r:id="rId7" w:history="1">
        <w:r w:rsidR="00417CAF" w:rsidRPr="001A4C6E">
          <w:rPr>
            <w:rStyle w:val="Hyperlink"/>
            <w:rFonts w:asciiTheme="minorHAnsi" w:hAnsiTheme="minorHAnsi"/>
            <w:color w:val="023160" w:themeColor="hyperlink" w:themeShade="80"/>
            <w14:textOutline w14:w="0" w14:cap="flat" w14:cmpd="sng" w14:algn="ctr">
              <w14:noFill/>
              <w14:prstDash w14:val="solid"/>
              <w14:round/>
            </w14:textOutline>
          </w:rPr>
          <w:t>www.ucpm.com</w:t>
        </w:r>
      </w:hyperlink>
      <w:r w:rsidR="00D65A93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35272" w:rsidRDefault="00C35272" w:rsidP="00455919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C35272" w:rsidRDefault="00C35272" w:rsidP="00455919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35272">
        <w:rPr>
          <w:rFonts w:asciiTheme="minorHAnsi" w:hAnsiTheme="minorHAnsi"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lastRenderedPageBreak/>
        <w:t>About Philadelphia Insurance Companies</w:t>
      </w:r>
    </w:p>
    <w:p w:rsidR="00C35272" w:rsidRPr="00C35272" w:rsidRDefault="00C35272" w:rsidP="00C35272">
      <w:pPr>
        <w:widowControl w:val="0"/>
        <w:spacing w:line="360" w:lineRule="auto"/>
        <w:ind w:left="14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070A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Philadelphia Insurance Companies designs, markets, and underwrites commercial property/casualty and professional liability insurance products incorporating value added coverages and services for select industries. In operation since 1962, the Company, whose commercial lines insurance subsidiaries are rated “A++” (Superior) by A.M. Best Company and “A+” for counterparty credit and financial strength by Standard &amp; Poor’s, is nationally recognized as a member of Ward's Top 50, National Underwriter’s Top 100, and one of the Top 150 Workplaces in America. Policies are underwritten by Philadelphia Indemnity Insurance Company and </w:t>
      </w:r>
      <w:proofErr w:type="spellStart"/>
      <w:r w:rsidRPr="00A070A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Tokio</w:t>
      </w:r>
      <w:proofErr w:type="spellEnd"/>
      <w:r w:rsidRPr="00A070A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Marine Specialty Insurance Company. The organization has </w:t>
      </w:r>
      <w:r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more than 50</w:t>
      </w:r>
      <w:r w:rsidRPr="00A070A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offices strategically located across the United States to provide superior service. For more information, please visit </w:t>
      </w:r>
      <w:hyperlink r:id="rId8" w:history="1">
        <w:r w:rsidRPr="00A070A4">
          <w:rPr>
            <w:rStyle w:val="Hyperlink"/>
            <w:rFonts w:asciiTheme="minorHAnsi" w:hAnsiTheme="minorHAnsi"/>
            <w14:textOutline w14:w="0" w14:cap="flat" w14:cmpd="sng" w14:algn="ctr">
              <w14:noFill/>
              <w14:prstDash w14:val="solid"/>
              <w14:round/>
            </w14:textOutline>
          </w:rPr>
          <w:t>www.PHLY.com</w:t>
        </w:r>
      </w:hyperlink>
      <w:r w:rsidRPr="00A070A4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22587" w:rsidRPr="00D12F89" w:rsidRDefault="00A546D7" w:rsidP="001055BF">
      <w:pPr>
        <w:widowControl w:val="0"/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822587">
        <w:rPr>
          <w:rFonts w:asciiTheme="minorHAnsi" w:hAnsi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###</w:t>
      </w:r>
    </w:p>
    <w:sectPr w:rsidR="00822587" w:rsidRPr="00D12F8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copat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1751A"/>
    <w:multiLevelType w:val="hybridMultilevel"/>
    <w:tmpl w:val="38D819BE"/>
    <w:lvl w:ilvl="0" w:tplc="BE7ABF8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7"/>
    <w:rsid w:val="001055BF"/>
    <w:rsid w:val="00142E06"/>
    <w:rsid w:val="00171A18"/>
    <w:rsid w:val="0018139C"/>
    <w:rsid w:val="001E0DA2"/>
    <w:rsid w:val="002303C7"/>
    <w:rsid w:val="002904A1"/>
    <w:rsid w:val="002D70FA"/>
    <w:rsid w:val="00351A53"/>
    <w:rsid w:val="003C2C38"/>
    <w:rsid w:val="00417CAF"/>
    <w:rsid w:val="00426130"/>
    <w:rsid w:val="00426F2D"/>
    <w:rsid w:val="00431730"/>
    <w:rsid w:val="00447815"/>
    <w:rsid w:val="00455919"/>
    <w:rsid w:val="004612E5"/>
    <w:rsid w:val="004C1B18"/>
    <w:rsid w:val="005D0C2C"/>
    <w:rsid w:val="00633B85"/>
    <w:rsid w:val="006631D3"/>
    <w:rsid w:val="00676B66"/>
    <w:rsid w:val="00713105"/>
    <w:rsid w:val="00764527"/>
    <w:rsid w:val="007807E1"/>
    <w:rsid w:val="007818C4"/>
    <w:rsid w:val="007F7407"/>
    <w:rsid w:val="00815116"/>
    <w:rsid w:val="00822587"/>
    <w:rsid w:val="00872C41"/>
    <w:rsid w:val="008870C0"/>
    <w:rsid w:val="008A3B27"/>
    <w:rsid w:val="008C530C"/>
    <w:rsid w:val="008E620E"/>
    <w:rsid w:val="00992B02"/>
    <w:rsid w:val="009A1B06"/>
    <w:rsid w:val="009A3842"/>
    <w:rsid w:val="009E4FA5"/>
    <w:rsid w:val="00A546D7"/>
    <w:rsid w:val="00AC13E0"/>
    <w:rsid w:val="00B24B27"/>
    <w:rsid w:val="00B37966"/>
    <w:rsid w:val="00BB3659"/>
    <w:rsid w:val="00BE566A"/>
    <w:rsid w:val="00BF0A6D"/>
    <w:rsid w:val="00C223C8"/>
    <w:rsid w:val="00C35272"/>
    <w:rsid w:val="00C44E35"/>
    <w:rsid w:val="00C92E4D"/>
    <w:rsid w:val="00CB6E00"/>
    <w:rsid w:val="00D12F89"/>
    <w:rsid w:val="00D65A93"/>
    <w:rsid w:val="00D91BC4"/>
    <w:rsid w:val="00DF3497"/>
    <w:rsid w:val="00E129D3"/>
    <w:rsid w:val="00E140D0"/>
    <w:rsid w:val="00EC2998"/>
    <w:rsid w:val="00EC3F64"/>
    <w:rsid w:val="00EE0F3A"/>
    <w:rsid w:val="00F45EE8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9A4B9-35D0-4D7D-8C8F-BC06AB57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999999"/>
        <w:sz w:val="24"/>
        <w:lang w:val="en-US" w:eastAsia="en-US" w:bidi="ar-SA"/>
      </w:rPr>
    </w:rPrDefault>
    <w:pPrDefault>
      <w:pPr>
        <w:spacing w:line="276" w:lineRule="auto"/>
        <w:ind w:left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contextualSpacing/>
      <w:outlineLvl w:val="1"/>
    </w:pPr>
    <w:rPr>
      <w:b/>
      <w:sz w:val="20"/>
    </w:rPr>
  </w:style>
  <w:style w:type="paragraph" w:styleId="Heading3">
    <w:name w:val="heading 3"/>
    <w:basedOn w:val="Normal"/>
    <w:next w:val="Normal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360" w:lineRule="auto"/>
      <w:contextualSpacing/>
      <w:jc w:val="right"/>
    </w:pPr>
    <w:rPr>
      <w:rFonts w:ascii="Syncopate" w:eastAsia="Syncopate" w:hAnsi="Syncopate" w:cs="Syncopate"/>
      <w:b/>
      <w:color w:val="B8523F"/>
      <w:sz w:val="28"/>
    </w:rPr>
  </w:style>
  <w:style w:type="paragraph" w:styleId="Subtitle">
    <w:name w:val="Subtitle"/>
    <w:basedOn w:val="Normal"/>
    <w:next w:val="Normal"/>
    <w:pPr>
      <w:keepNext/>
      <w:keepLines/>
      <w:contextualSpacing/>
    </w:pPr>
    <w:rPr>
      <w:b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22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5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F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oli\AppData\Local\Microsoft\Windows\Temporary%20Internet%20Files\Content.Outlook\V5X3OYPX\www.PHLY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xt.ucpm.com/uc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E8B6-9274-450F-98EF-16DF48EC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Press release - Studio.docx</vt:lpstr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Press release - Studio.docx</dc:title>
  <dc:creator>Scott Cascaes</dc:creator>
  <cp:lastModifiedBy>Scott Cascaes</cp:lastModifiedBy>
  <cp:revision>15</cp:revision>
  <cp:lastPrinted>2016-05-06T22:13:00Z</cp:lastPrinted>
  <dcterms:created xsi:type="dcterms:W3CDTF">2016-05-04T20:45:00Z</dcterms:created>
  <dcterms:modified xsi:type="dcterms:W3CDTF">2016-06-23T15:53:00Z</dcterms:modified>
</cp:coreProperties>
</file>