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F60" w:rsidRPr="00E70E2A" w:rsidRDefault="00AD1F60" w:rsidP="00AD1F60">
      <w:pPr>
        <w:spacing w:after="0"/>
        <w:rPr>
          <w:rFonts w:ascii="Trade Gothic LT Std Extended" w:hAnsi="Trade Gothic LT Std Extended"/>
          <w:color w:val="45637A"/>
          <w:sz w:val="28"/>
          <w:szCs w:val="28"/>
        </w:rPr>
      </w:pPr>
      <w:r w:rsidRPr="00E70E2A">
        <w:rPr>
          <w:rFonts w:ascii="Trade Gothic LT Std Extended" w:hAnsi="Trade Gothic LT Std Extended"/>
          <w:color w:val="45637A"/>
          <w:sz w:val="28"/>
          <w:szCs w:val="28"/>
        </w:rPr>
        <w:t>MetaViewer</w:t>
      </w:r>
      <w:r w:rsidRPr="00E70E2A">
        <w:rPr>
          <w:rFonts w:ascii="Trade Gothic LT Std Extended" w:hAnsi="Trade Gothic LT Std Extended"/>
          <w:color w:val="45637A"/>
          <w:sz w:val="28"/>
          <w:szCs w:val="28"/>
          <w:vertAlign w:val="superscript"/>
        </w:rPr>
        <w:t>®</w:t>
      </w:r>
    </w:p>
    <w:p w:rsidR="00AD1F60" w:rsidRPr="00E70E2A" w:rsidRDefault="00AD1F60" w:rsidP="00AD1F60">
      <w:pPr>
        <w:spacing w:after="0"/>
        <w:rPr>
          <w:rFonts w:ascii="Trade Gothic LT Std Extended" w:hAnsi="Trade Gothic LT Std Extended"/>
          <w:color w:val="45637A"/>
          <w:sz w:val="28"/>
          <w:szCs w:val="28"/>
        </w:rPr>
      </w:pPr>
      <w:r w:rsidRPr="00E70E2A">
        <w:rPr>
          <w:rFonts w:ascii="Trade Gothic LT Std Extended" w:hAnsi="Trade Gothic LT Std Extended"/>
          <w:color w:val="45637A"/>
          <w:sz w:val="28"/>
          <w:szCs w:val="28"/>
        </w:rPr>
        <w:t>Enterprise Content</w:t>
      </w:r>
    </w:p>
    <w:p w:rsidR="00AD1F60" w:rsidRPr="00E70E2A" w:rsidRDefault="00AD1F60" w:rsidP="00AD1F60">
      <w:pPr>
        <w:spacing w:after="0"/>
        <w:rPr>
          <w:rFonts w:ascii="Trade Gothic LT Std Extended" w:hAnsi="Trade Gothic LT Std Extended"/>
          <w:color w:val="45637A"/>
          <w:sz w:val="28"/>
          <w:szCs w:val="28"/>
        </w:rPr>
      </w:pPr>
      <w:r w:rsidRPr="00E70E2A">
        <w:rPr>
          <w:rFonts w:ascii="Trade Gothic LT Std Extended" w:hAnsi="Trade Gothic LT Std Extended"/>
          <w:color w:val="45637A"/>
          <w:sz w:val="28"/>
          <w:szCs w:val="28"/>
        </w:rPr>
        <w:t>Management Solution</w:t>
      </w:r>
    </w:p>
    <w:p w:rsidR="00AD1F60" w:rsidRDefault="00AD1F60" w:rsidP="00AD1F60">
      <w:pPr>
        <w:spacing w:after="20"/>
        <w:jc w:val="both"/>
      </w:pPr>
      <w:r>
        <w:rPr>
          <w:noProof/>
        </w:rPr>
        <w:drawing>
          <wp:anchor distT="0" distB="0" distL="114300" distR="114300" simplePos="0" relativeHeight="251716608" behindDoc="1" locked="0" layoutInCell="1" allowOverlap="1" wp14:anchorId="18069167" wp14:editId="4F04EC71">
            <wp:simplePos x="0" y="0"/>
            <wp:positionH relativeFrom="column">
              <wp:posOffset>-85090</wp:posOffset>
            </wp:positionH>
            <wp:positionV relativeFrom="paragraph">
              <wp:posOffset>52070</wp:posOffset>
            </wp:positionV>
            <wp:extent cx="3027045" cy="938530"/>
            <wp:effectExtent l="0" t="0" r="1905" b="0"/>
            <wp:wrapNone/>
            <wp:docPr id="2" name="Picture 2" descr="three-circles-in-a-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hree-circles-in-a-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7045" cy="938530"/>
                    </a:xfrm>
                    <a:prstGeom prst="rect">
                      <a:avLst/>
                    </a:prstGeom>
                    <a:noFill/>
                  </pic:spPr>
                </pic:pic>
              </a:graphicData>
            </a:graphic>
            <wp14:sizeRelH relativeFrom="page">
              <wp14:pctWidth>0</wp14:pctWidth>
            </wp14:sizeRelH>
            <wp14:sizeRelV relativeFrom="page">
              <wp14:pctHeight>0</wp14:pctHeight>
            </wp14:sizeRelV>
          </wp:anchor>
        </w:drawing>
      </w:r>
    </w:p>
    <w:p w:rsidR="00AD1F60" w:rsidRDefault="00AD1F60" w:rsidP="00AD1F60">
      <w:pPr>
        <w:spacing w:after="20"/>
        <w:jc w:val="right"/>
      </w:pPr>
    </w:p>
    <w:p w:rsidR="00AD1F60" w:rsidRDefault="00AD1F60" w:rsidP="00AD1F60">
      <w:pPr>
        <w:spacing w:after="20"/>
        <w:jc w:val="both"/>
      </w:pPr>
    </w:p>
    <w:p w:rsidR="00AD1F60" w:rsidRDefault="00AD1F60" w:rsidP="00AD1F60">
      <w:pPr>
        <w:spacing w:after="20"/>
        <w:jc w:val="both"/>
      </w:pPr>
    </w:p>
    <w:p w:rsidR="00AD1F60" w:rsidRDefault="00AD1F60" w:rsidP="00AD1F60">
      <w:pPr>
        <w:spacing w:after="20"/>
        <w:jc w:val="both"/>
      </w:pPr>
    </w:p>
    <w:p w:rsidR="00AD1F60" w:rsidRDefault="00AD1F60" w:rsidP="00AD1F60">
      <w:pPr>
        <w:spacing w:after="20"/>
        <w:jc w:val="both"/>
      </w:pPr>
    </w:p>
    <w:p w:rsidR="00AD1F60" w:rsidRDefault="00AD1F60" w:rsidP="00AD1F60">
      <w:pPr>
        <w:spacing w:after="20"/>
        <w:jc w:val="both"/>
      </w:pPr>
    </w:p>
    <w:p w:rsidR="00AD1F60" w:rsidRDefault="00AD1F60" w:rsidP="00AD1F60">
      <w:pPr>
        <w:spacing w:after="20"/>
        <w:jc w:val="both"/>
      </w:pPr>
    </w:p>
    <w:p w:rsidR="00AD1F60" w:rsidRDefault="00AD1F60" w:rsidP="00AD1F60">
      <w:pPr>
        <w:spacing w:after="20"/>
        <w:jc w:val="both"/>
      </w:pPr>
    </w:p>
    <w:p w:rsidR="00F14ECB" w:rsidRPr="00F14ECB" w:rsidRDefault="00AD1F60" w:rsidP="00AD1F60">
      <w:pPr>
        <w:pStyle w:val="Title"/>
        <w:spacing w:before="120"/>
        <w:jc w:val="right"/>
        <w:rPr>
          <w:rFonts w:ascii="Trade Gothic LT Std Extended" w:hAnsi="Trade Gothic LT Std Extended"/>
          <w:b w:val="0"/>
          <w:bCs w:val="0"/>
          <w:color w:val="808080"/>
          <w:sz w:val="40"/>
          <w:szCs w:val="32"/>
        </w:rPr>
      </w:pPr>
      <w:r w:rsidRPr="00F14ECB">
        <w:rPr>
          <w:rFonts w:ascii="Trade Gothic LT Std Extended" w:hAnsi="Trade Gothic LT Std Extended"/>
          <w:b w:val="0"/>
          <w:bCs w:val="0"/>
          <w:color w:val="808080"/>
          <w:sz w:val="40"/>
          <w:szCs w:val="32"/>
        </w:rPr>
        <w:t xml:space="preserve">MetaViewer </w:t>
      </w:r>
    </w:p>
    <w:p w:rsidR="00AD1F60" w:rsidRPr="00F14ECB" w:rsidRDefault="00D77271" w:rsidP="00AD1F60">
      <w:pPr>
        <w:pStyle w:val="Title"/>
        <w:spacing w:before="120"/>
        <w:jc w:val="right"/>
        <w:rPr>
          <w:rFonts w:ascii="Trade Gothic LT Std Extended" w:hAnsi="Trade Gothic LT Std Extended"/>
          <w:b w:val="0"/>
          <w:bCs w:val="0"/>
          <w:color w:val="808080"/>
          <w:sz w:val="40"/>
          <w:szCs w:val="32"/>
        </w:rPr>
      </w:pPr>
      <w:r>
        <w:rPr>
          <w:rFonts w:ascii="Trade Gothic LT Std Extended" w:hAnsi="Trade Gothic LT Std Extended"/>
          <w:b w:val="0"/>
          <w:bCs w:val="0"/>
          <w:color w:val="808080"/>
          <w:sz w:val="40"/>
          <w:szCs w:val="32"/>
        </w:rPr>
        <w:t xml:space="preserve">Microsoft Dynamics SL </w:t>
      </w:r>
      <w:r w:rsidR="00A5711E">
        <w:rPr>
          <w:rFonts w:ascii="Trade Gothic LT Std Extended" w:hAnsi="Trade Gothic LT Std Extended"/>
          <w:b w:val="0"/>
          <w:bCs w:val="0"/>
          <w:color w:val="808080"/>
          <w:sz w:val="40"/>
          <w:szCs w:val="32"/>
        </w:rPr>
        <w:t>Integration</w:t>
      </w:r>
      <w:r w:rsidR="00AA473D">
        <w:rPr>
          <w:rFonts w:ascii="Trade Gothic LT Std Extended" w:hAnsi="Trade Gothic LT Std Extended"/>
          <w:b w:val="0"/>
          <w:bCs w:val="0"/>
          <w:color w:val="808080"/>
          <w:sz w:val="40"/>
          <w:szCs w:val="32"/>
        </w:rPr>
        <w:t xml:space="preserve"> </w:t>
      </w:r>
    </w:p>
    <w:p w:rsidR="00AD1F60" w:rsidRPr="001A425F" w:rsidRDefault="00AD1F60" w:rsidP="00AD1F60">
      <w:pPr>
        <w:pStyle w:val="Title"/>
        <w:spacing w:before="120"/>
        <w:jc w:val="right"/>
        <w:rPr>
          <w:rFonts w:ascii="Trade Gothic LT Std Extended" w:hAnsi="Trade Gothic LT Std Extended"/>
          <w:b w:val="0"/>
          <w:bCs w:val="0"/>
          <w:color w:val="4F81BD"/>
          <w:sz w:val="40"/>
          <w:szCs w:val="40"/>
        </w:rPr>
      </w:pPr>
    </w:p>
    <w:p w:rsidR="00AD1F60" w:rsidRPr="005734E8" w:rsidRDefault="00806755" w:rsidP="00AD1F60">
      <w:pPr>
        <w:pStyle w:val="Title"/>
        <w:jc w:val="right"/>
        <w:rPr>
          <w:rFonts w:ascii="Trade Gothic LT Std Extended" w:hAnsi="Trade Gothic LT Std Extended"/>
          <w:b w:val="0"/>
          <w:bCs w:val="0"/>
          <w:color w:val="808080"/>
          <w:sz w:val="32"/>
          <w:szCs w:val="32"/>
        </w:rPr>
      </w:pPr>
      <w:r w:rsidRPr="00806755">
        <w:rPr>
          <w:rFonts w:ascii="Trade Gothic LT Std Extended" w:hAnsi="Trade Gothic LT Std Extended"/>
          <w:b w:val="0"/>
          <w:bCs w:val="0"/>
          <w:color w:val="808080"/>
          <w:sz w:val="32"/>
          <w:szCs w:val="32"/>
        </w:rPr>
        <w:t>Fast Track AP Solution</w:t>
      </w:r>
    </w:p>
    <w:p w:rsidR="00AD1F60" w:rsidRDefault="00AD1F60" w:rsidP="00AD1F60">
      <w:pPr>
        <w:spacing w:before="120" w:after="180"/>
        <w:jc w:val="right"/>
        <w:rPr>
          <w:rFonts w:ascii="Trade Gothic LT Std Extended" w:eastAsia="Arial Unicode MS" w:hAnsi="Trade Gothic LT Std Extended" w:cs="Arial"/>
          <w:color w:val="808080"/>
        </w:rPr>
      </w:pPr>
      <w:r>
        <w:rPr>
          <w:rFonts w:ascii="Trade Gothic LT Std Extended" w:eastAsia="Arial Unicode MS" w:hAnsi="Trade Gothic LT Std Extended" w:cs="Arial"/>
          <w:color w:val="808080"/>
        </w:rPr>
        <w:fldChar w:fldCharType="begin"/>
      </w:r>
      <w:r>
        <w:rPr>
          <w:rFonts w:ascii="Trade Gothic LT Std Extended" w:eastAsia="Arial Unicode MS" w:hAnsi="Trade Gothic LT Std Extended" w:cs="Arial"/>
          <w:color w:val="808080"/>
        </w:rPr>
        <w:instrText xml:space="preserve"> DATE \@ "MMMM d, yyyy" </w:instrText>
      </w:r>
      <w:r>
        <w:rPr>
          <w:rFonts w:ascii="Trade Gothic LT Std Extended" w:eastAsia="Arial Unicode MS" w:hAnsi="Trade Gothic LT Std Extended" w:cs="Arial"/>
          <w:color w:val="808080"/>
        </w:rPr>
        <w:fldChar w:fldCharType="separate"/>
      </w:r>
      <w:r w:rsidR="00DE16F8">
        <w:rPr>
          <w:rFonts w:ascii="Trade Gothic LT Std Extended" w:eastAsia="Arial Unicode MS" w:hAnsi="Trade Gothic LT Std Extended" w:cs="Arial"/>
          <w:noProof/>
          <w:color w:val="808080"/>
        </w:rPr>
        <w:t>July 26, 2016</w:t>
      </w:r>
      <w:r>
        <w:rPr>
          <w:rFonts w:ascii="Trade Gothic LT Std Extended" w:eastAsia="Arial Unicode MS" w:hAnsi="Trade Gothic LT Std Extended" w:cs="Arial"/>
          <w:color w:val="808080"/>
        </w:rPr>
        <w:fldChar w:fldCharType="end"/>
      </w:r>
    </w:p>
    <w:p w:rsidR="00AD1F60" w:rsidRDefault="00AD1F60" w:rsidP="00AD1F60">
      <w:pPr>
        <w:spacing w:after="120"/>
        <w:jc w:val="right"/>
        <w:rPr>
          <w:rFonts w:ascii="Trade Gothic LT Std Extended" w:eastAsia="Arial Unicode MS" w:hAnsi="Trade Gothic LT Std Extended" w:cs="Arial"/>
          <w:color w:val="808080"/>
        </w:rPr>
      </w:pPr>
    </w:p>
    <w:p w:rsidR="006C55CE" w:rsidRDefault="006C55CE" w:rsidP="00AD1F60">
      <w:pPr>
        <w:spacing w:after="120"/>
        <w:jc w:val="right"/>
        <w:rPr>
          <w:rFonts w:ascii="Trade Gothic LT Std Extended" w:eastAsia="Arial Unicode MS" w:hAnsi="Trade Gothic LT Std Extended" w:cs="Arial"/>
          <w:color w:val="808080"/>
        </w:rPr>
      </w:pPr>
    </w:p>
    <w:p w:rsidR="006C55CE" w:rsidRDefault="006C55CE" w:rsidP="00AD1F60">
      <w:pPr>
        <w:spacing w:after="120"/>
        <w:jc w:val="right"/>
        <w:rPr>
          <w:rFonts w:ascii="Trade Gothic LT Std Extended" w:eastAsia="Arial Unicode MS" w:hAnsi="Trade Gothic LT Std Extended" w:cs="Arial"/>
          <w:color w:val="808080"/>
        </w:rPr>
      </w:pPr>
    </w:p>
    <w:p w:rsidR="00AD1F60" w:rsidRDefault="00AD1F60" w:rsidP="00AD1F60">
      <w:pPr>
        <w:jc w:val="right"/>
        <w:rPr>
          <w:rFonts w:ascii="Trade Gothic LT Std Extended" w:eastAsia="Arial Unicode MS" w:hAnsi="Trade Gothic LT Std Extended" w:cs="Arial"/>
          <w:color w:val="808080"/>
        </w:rPr>
      </w:pPr>
    </w:p>
    <w:p w:rsidR="000A0BEC" w:rsidRDefault="000A0BEC" w:rsidP="00AD1F60">
      <w:pPr>
        <w:jc w:val="right"/>
        <w:rPr>
          <w:rFonts w:ascii="Trade Gothic LT Std Extended" w:eastAsia="Arial Unicode MS" w:hAnsi="Trade Gothic LT Std Extended" w:cs="Arial"/>
          <w:color w:val="808080"/>
        </w:rPr>
      </w:pPr>
    </w:p>
    <w:p w:rsidR="000A0BEC" w:rsidRDefault="000A0BEC" w:rsidP="00AD1F60">
      <w:pPr>
        <w:jc w:val="right"/>
        <w:rPr>
          <w:rFonts w:ascii="Trade Gothic LT Std Extended" w:eastAsia="Arial Unicode MS" w:hAnsi="Trade Gothic LT Std Extended" w:cs="Arial"/>
          <w:color w:val="808080"/>
        </w:rPr>
      </w:pPr>
    </w:p>
    <w:p w:rsidR="000A0BEC" w:rsidRDefault="000A0BEC" w:rsidP="00AD1F60">
      <w:pPr>
        <w:jc w:val="right"/>
        <w:rPr>
          <w:rFonts w:ascii="Trade Gothic LT Std Extended" w:eastAsia="Arial Unicode MS" w:hAnsi="Trade Gothic LT Std Extended" w:cs="Arial"/>
          <w:color w:val="808080"/>
        </w:rPr>
      </w:pPr>
    </w:p>
    <w:p w:rsidR="00AD1F60" w:rsidRDefault="00AD1F60" w:rsidP="00AD1F60">
      <w:pPr>
        <w:jc w:val="right"/>
        <w:rPr>
          <w:rFonts w:ascii="Trade Gothic LT Std Extended" w:eastAsia="Arial Unicode MS" w:hAnsi="Trade Gothic LT Std Extended" w:cs="Arial"/>
          <w:color w:val="808080"/>
        </w:rPr>
      </w:pPr>
    </w:p>
    <w:p w:rsidR="00AA473D" w:rsidRDefault="00AA473D" w:rsidP="00AD1F60">
      <w:pPr>
        <w:jc w:val="right"/>
        <w:rPr>
          <w:rFonts w:ascii="Trade Gothic LT Std Extended" w:eastAsia="Arial Unicode MS" w:hAnsi="Trade Gothic LT Std Extended" w:cs="Arial"/>
          <w:color w:val="808080"/>
        </w:rPr>
      </w:pPr>
    </w:p>
    <w:p w:rsidR="00AA473D" w:rsidRDefault="00AA473D" w:rsidP="00AD1F60">
      <w:pPr>
        <w:jc w:val="right"/>
        <w:rPr>
          <w:rFonts w:ascii="Trade Gothic LT Std Extended" w:eastAsia="Arial Unicode MS" w:hAnsi="Trade Gothic LT Std Extended" w:cs="Arial"/>
          <w:color w:val="808080"/>
        </w:rPr>
      </w:pPr>
    </w:p>
    <w:p w:rsidR="00AA473D" w:rsidRDefault="00AA473D" w:rsidP="00AD1F60">
      <w:pPr>
        <w:jc w:val="right"/>
        <w:rPr>
          <w:rFonts w:ascii="Trade Gothic LT Std Extended" w:eastAsia="Arial Unicode MS" w:hAnsi="Trade Gothic LT Std Extended" w:cs="Arial"/>
          <w:color w:val="808080"/>
        </w:rPr>
      </w:pPr>
    </w:p>
    <w:p w:rsidR="00AD1F60" w:rsidRDefault="00AD1F60" w:rsidP="00AD1F60">
      <w:pPr>
        <w:rPr>
          <w:b/>
          <w:noProof/>
        </w:rPr>
      </w:pPr>
      <w:r>
        <w:rPr>
          <w:noProof/>
        </w:rPr>
        <w:drawing>
          <wp:inline distT="0" distB="0" distL="0" distR="0" wp14:anchorId="0AEF8498" wp14:editId="21BE7105">
            <wp:extent cx="1512570" cy="656590"/>
            <wp:effectExtent l="0" t="0" r="0" b="0"/>
            <wp:docPr id="61" name="Picture 61" descr="MetaViewer_dynamic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aViewer_dynamics-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2570" cy="656590"/>
                    </a:xfrm>
                    <a:prstGeom prst="rect">
                      <a:avLst/>
                    </a:prstGeom>
                    <a:noFill/>
                    <a:ln>
                      <a:noFill/>
                    </a:ln>
                  </pic:spPr>
                </pic:pic>
              </a:graphicData>
            </a:graphic>
          </wp:inline>
        </w:drawing>
      </w:r>
    </w:p>
    <w:p w:rsidR="00666819" w:rsidRDefault="00666819" w:rsidP="00D1645C">
      <w:pPr>
        <w:pStyle w:val="Heading2"/>
      </w:pPr>
      <w:r w:rsidRPr="006C7675">
        <w:t>Overview</w:t>
      </w:r>
    </w:p>
    <w:p w:rsidR="00271257" w:rsidRDefault="00271257" w:rsidP="00D1645C"/>
    <w:p w:rsidR="0023271C" w:rsidRDefault="00A5711E" w:rsidP="00D1645C">
      <w:r>
        <w:t xml:space="preserve">MetaViewer </w:t>
      </w:r>
      <w:r w:rsidR="005564AC">
        <w:t>Enterprise allows</w:t>
      </w:r>
      <w:r>
        <w:t xml:space="preserve"> users to interact with Accounts Payable documents via a web interface. The application data is stored in a </w:t>
      </w:r>
      <w:r w:rsidR="005564AC">
        <w:t xml:space="preserve">SQL Server </w:t>
      </w:r>
      <w:r>
        <w:t>database</w:t>
      </w:r>
      <w:r w:rsidR="005564AC">
        <w:t xml:space="preserve"> and the documents are stored on a file system</w:t>
      </w:r>
      <w:r>
        <w:t xml:space="preserve">. System information, user information and document content is created during the workflow process either by internal scripts and procedures within the MetaViewer database, user interaction, or data populations from the </w:t>
      </w:r>
      <w:r w:rsidR="00AA473D">
        <w:t>Microsoft Dynamics SL</w:t>
      </w:r>
      <w:r>
        <w:t xml:space="preserve"> system. </w:t>
      </w:r>
    </w:p>
    <w:p w:rsidR="00A5711E" w:rsidRDefault="00A5711E" w:rsidP="00D1645C">
      <w:r>
        <w:t xml:space="preserve">For MetaViewer to pull information that can be used in the document lifecycle, a linked server object is created on the </w:t>
      </w:r>
      <w:r w:rsidR="007176A5">
        <w:t>SQL</w:t>
      </w:r>
      <w:r>
        <w:t xml:space="preserve"> instance that houses</w:t>
      </w:r>
      <w:r w:rsidR="00AA473D">
        <w:t xml:space="preserve"> the</w:t>
      </w:r>
      <w:r>
        <w:t xml:space="preserve"> MetaViewer</w:t>
      </w:r>
      <w:r w:rsidR="00957096">
        <w:t xml:space="preserve"> </w:t>
      </w:r>
      <w:r w:rsidR="005564AC">
        <w:t>d</w:t>
      </w:r>
      <w:r w:rsidR="00957096">
        <w:t>atabase</w:t>
      </w:r>
      <w:r>
        <w:t>. The</w:t>
      </w:r>
      <w:r w:rsidR="00AA473D" w:rsidRPr="00AA473D">
        <w:t xml:space="preserve"> </w:t>
      </w:r>
      <w:r w:rsidR="00AA473D">
        <w:t>linked server</w:t>
      </w:r>
      <w:r>
        <w:t xml:space="preserve"> user </w:t>
      </w:r>
      <w:r w:rsidR="00AA473D">
        <w:t>requires only</w:t>
      </w:r>
      <w:r>
        <w:t xml:space="preserve"> read </w:t>
      </w:r>
      <w:r w:rsidR="00AA473D">
        <w:t>access</w:t>
      </w:r>
      <w:r>
        <w:t>. MetaViewer</w:t>
      </w:r>
      <w:r w:rsidR="00AA473D">
        <w:t xml:space="preserve"> application</w:t>
      </w:r>
      <w:r>
        <w:t xml:space="preserve"> does not make any direct updates, inserts or deletes to the</w:t>
      </w:r>
      <w:r w:rsidR="00AA473D">
        <w:t xml:space="preserve"> Dynamics</w:t>
      </w:r>
      <w:r>
        <w:t xml:space="preserve"> SL database</w:t>
      </w:r>
      <w:r w:rsidR="00591A18">
        <w:t xml:space="preserve"> through the linked server</w:t>
      </w:r>
      <w:r>
        <w:t>.</w:t>
      </w:r>
    </w:p>
    <w:p w:rsidR="0001496D" w:rsidRDefault="00A5711E" w:rsidP="00D1645C">
      <w:r>
        <w:t xml:space="preserve">At the end of the Accounts Payable process, the invoice data within MetaViewer </w:t>
      </w:r>
      <w:r w:rsidR="005564AC">
        <w:t xml:space="preserve">is </w:t>
      </w:r>
      <w:r>
        <w:t xml:space="preserve">passed to the </w:t>
      </w:r>
      <w:r w:rsidR="00AA473D">
        <w:t>Dynamics SL</w:t>
      </w:r>
      <w:r>
        <w:t xml:space="preserve"> system </w:t>
      </w:r>
      <w:r w:rsidR="005564AC">
        <w:t xml:space="preserve">to create </w:t>
      </w:r>
      <w:r>
        <w:t>a voucher.</w:t>
      </w:r>
    </w:p>
    <w:p w:rsidR="00C33284" w:rsidRDefault="00C33284" w:rsidP="00D1645C">
      <w:pPr>
        <w:rPr>
          <w:rStyle w:val="CommentReference"/>
          <w:sz w:val="22"/>
          <w:szCs w:val="22"/>
        </w:rPr>
      </w:pPr>
      <w:r w:rsidRPr="0001496D">
        <w:rPr>
          <w:rStyle w:val="CommentReference"/>
          <w:sz w:val="22"/>
          <w:szCs w:val="22"/>
        </w:rPr>
        <w:t xml:space="preserve">Metafile has entered into a joint partnership with </w:t>
      </w:r>
      <w:hyperlink r:id="rId10" w:history="1">
        <w:r w:rsidRPr="00D77271">
          <w:rPr>
            <w:rStyle w:val="Hyperlink"/>
          </w:rPr>
          <w:t>Catalina Technology</w:t>
        </w:r>
      </w:hyperlink>
      <w:r w:rsidRPr="0001496D">
        <w:rPr>
          <w:rStyle w:val="CommentReference"/>
          <w:sz w:val="22"/>
          <w:szCs w:val="22"/>
        </w:rPr>
        <w:t xml:space="preserve">. </w:t>
      </w:r>
      <w:r>
        <w:rPr>
          <w:rStyle w:val="CommentReference"/>
          <w:sz w:val="22"/>
          <w:szCs w:val="22"/>
        </w:rPr>
        <w:t xml:space="preserve">The MetaViewer for Microsoft Dynamics SL solution </w:t>
      </w:r>
      <w:r w:rsidRPr="0001496D">
        <w:rPr>
          <w:rStyle w:val="CommentReference"/>
          <w:sz w:val="22"/>
          <w:szCs w:val="22"/>
        </w:rPr>
        <w:t xml:space="preserve">have </w:t>
      </w:r>
      <w:r>
        <w:rPr>
          <w:rStyle w:val="CommentReference"/>
          <w:sz w:val="22"/>
          <w:szCs w:val="22"/>
        </w:rPr>
        <w:t xml:space="preserve">been </w:t>
      </w:r>
      <w:r w:rsidRPr="0001496D">
        <w:rPr>
          <w:rStyle w:val="CommentReference"/>
          <w:sz w:val="22"/>
          <w:szCs w:val="22"/>
        </w:rPr>
        <w:t xml:space="preserve">standardized </w:t>
      </w:r>
      <w:r>
        <w:rPr>
          <w:rStyle w:val="CommentReference"/>
          <w:sz w:val="22"/>
          <w:szCs w:val="22"/>
        </w:rPr>
        <w:t xml:space="preserve">to integrate using </w:t>
      </w:r>
      <w:r w:rsidRPr="0001496D">
        <w:rPr>
          <w:rStyle w:val="CommentReference"/>
          <w:sz w:val="22"/>
          <w:szCs w:val="22"/>
        </w:rPr>
        <w:t xml:space="preserve">the Catalina CTAPI </w:t>
      </w:r>
      <w:r w:rsidR="0001496D" w:rsidRPr="0001496D">
        <w:rPr>
          <w:rStyle w:val="CommentReference"/>
          <w:sz w:val="22"/>
          <w:szCs w:val="22"/>
        </w:rPr>
        <w:t xml:space="preserve">Web </w:t>
      </w:r>
      <w:r w:rsidR="0001496D">
        <w:rPr>
          <w:rStyle w:val="CommentReference"/>
          <w:sz w:val="22"/>
          <w:szCs w:val="22"/>
        </w:rPr>
        <w:t>S</w:t>
      </w:r>
      <w:r w:rsidR="0001496D" w:rsidRPr="0001496D">
        <w:rPr>
          <w:rStyle w:val="CommentReference"/>
          <w:sz w:val="22"/>
          <w:szCs w:val="22"/>
        </w:rPr>
        <w:t>ervices</w:t>
      </w:r>
      <w:r w:rsidRPr="0001496D">
        <w:rPr>
          <w:rStyle w:val="CommentReference"/>
          <w:sz w:val="22"/>
          <w:szCs w:val="22"/>
        </w:rPr>
        <w:t xml:space="preserve">, specifically the Finance Module which is a subset of available </w:t>
      </w:r>
      <w:r>
        <w:rPr>
          <w:rStyle w:val="CommentReference"/>
          <w:sz w:val="22"/>
          <w:szCs w:val="22"/>
        </w:rPr>
        <w:t xml:space="preserve">SL </w:t>
      </w:r>
      <w:r w:rsidR="0001496D">
        <w:rPr>
          <w:rStyle w:val="CommentReference"/>
          <w:sz w:val="22"/>
          <w:szCs w:val="22"/>
        </w:rPr>
        <w:t>Web Services</w:t>
      </w:r>
      <w:r>
        <w:rPr>
          <w:rStyle w:val="CommentReference"/>
          <w:sz w:val="22"/>
          <w:szCs w:val="22"/>
        </w:rPr>
        <w:t xml:space="preserve"> from Catalina</w:t>
      </w:r>
      <w:r w:rsidRPr="0001496D">
        <w:rPr>
          <w:rStyle w:val="CommentReference"/>
          <w:sz w:val="22"/>
          <w:szCs w:val="22"/>
        </w:rPr>
        <w:t xml:space="preserve">. This is the most up-to-date and efficient integration method </w:t>
      </w:r>
      <w:r>
        <w:rPr>
          <w:rStyle w:val="CommentReference"/>
          <w:sz w:val="22"/>
          <w:szCs w:val="22"/>
        </w:rPr>
        <w:t>for passing data</w:t>
      </w:r>
      <w:r w:rsidRPr="0001496D">
        <w:rPr>
          <w:rStyle w:val="CommentReference"/>
          <w:sz w:val="22"/>
          <w:szCs w:val="22"/>
        </w:rPr>
        <w:t xml:space="preserve"> from the MetaViewer AP solution to Microsoft Dynamics SL. The finance module of the Catalina CTAPI contains </w:t>
      </w:r>
      <w:r w:rsidR="00F73199">
        <w:rPr>
          <w:rStyle w:val="CommentReference"/>
          <w:sz w:val="22"/>
          <w:szCs w:val="22"/>
        </w:rPr>
        <w:t>numerous</w:t>
      </w:r>
      <w:r w:rsidRPr="0001496D">
        <w:rPr>
          <w:rStyle w:val="CommentReference"/>
          <w:sz w:val="22"/>
          <w:szCs w:val="22"/>
        </w:rPr>
        <w:t xml:space="preserve"> stored procedures. While there are numerous capabilities for integration within this Web</w:t>
      </w:r>
      <w:r w:rsidR="006D6C2B">
        <w:rPr>
          <w:rStyle w:val="CommentReference"/>
          <w:sz w:val="22"/>
          <w:szCs w:val="22"/>
        </w:rPr>
        <w:t xml:space="preserve"> S</w:t>
      </w:r>
      <w:r w:rsidRPr="0001496D">
        <w:rPr>
          <w:rStyle w:val="CommentReference"/>
          <w:sz w:val="22"/>
          <w:szCs w:val="22"/>
        </w:rPr>
        <w:t>ervice tool, the MetaViewer integration process will only use a small subset of these objects.</w:t>
      </w:r>
    </w:p>
    <w:p w:rsidR="00271257" w:rsidRDefault="00AC2492" w:rsidP="00271257">
      <w:r>
        <w:t xml:space="preserve">These Web Services give MetaViewer the ability to integrate with Dynamics SL. This allows MetaViewer to export invoices to the Dynamics SL Voucher and Adjustment Screen. The new Dynamics SL voucher is created in unposted batches for review by a user.   </w:t>
      </w:r>
      <w:r w:rsidR="00271257">
        <w:t xml:space="preserve">Here, the web service requires a login with read, write, and execute access to necessary Dynamics SL databases.        </w:t>
      </w:r>
    </w:p>
    <w:p w:rsidR="00271257" w:rsidRDefault="00271257" w:rsidP="00271257">
      <w:pPr>
        <w:jc w:val="center"/>
      </w:pPr>
      <w:r>
        <w:rPr>
          <w:noProof/>
        </w:rPr>
        <w:drawing>
          <wp:inline distT="0" distB="0" distL="0" distR="0" wp14:anchorId="22029054" wp14:editId="5767B33E">
            <wp:extent cx="5020056" cy="3511296"/>
            <wp:effectExtent l="76200" t="76200" r="123825" b="127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0056" cy="35112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C2492" w:rsidRDefault="00AC2492" w:rsidP="00AC2492"/>
    <w:p w:rsidR="00D77271" w:rsidRPr="006D6C2B" w:rsidRDefault="006D6C2B" w:rsidP="00D1645C">
      <w:pPr>
        <w:rPr>
          <w:color w:val="548DD4" w:themeColor="text2" w:themeTint="99"/>
        </w:rPr>
      </w:pPr>
      <w:r w:rsidRPr="006D6C2B">
        <w:rPr>
          <w:rFonts w:ascii="Segoe UI" w:hAnsi="Segoe UI" w:cs="Segoe UI"/>
          <w:iCs/>
        </w:rPr>
        <w:t>A</w:t>
      </w:r>
      <w:r w:rsidR="00D77271" w:rsidRPr="006D6C2B">
        <w:t xml:space="preserve"> full</w:t>
      </w:r>
      <w:r w:rsidR="00D77271">
        <w:t xml:space="preserve"> license and annual support for this </w:t>
      </w:r>
      <w:r w:rsidR="00C33284">
        <w:t xml:space="preserve">Catalina Technology CTAPI </w:t>
      </w:r>
      <w:r w:rsidR="00D77271">
        <w:t xml:space="preserve">module is included in the purchase </w:t>
      </w:r>
      <w:r w:rsidR="00752108">
        <w:t xml:space="preserve">and annual support fees </w:t>
      </w:r>
      <w:r w:rsidR="00D77271">
        <w:t xml:space="preserve">of </w:t>
      </w:r>
      <w:r w:rsidR="00C33284">
        <w:t>your</w:t>
      </w:r>
      <w:r w:rsidR="00D77271">
        <w:t xml:space="preserve"> MetaViewer for Microsoft Dynamics SL solution. To learn more ways you can take advantage of this powerful integration tool outside of the MetaViewer solution you are encouraged to </w:t>
      </w:r>
      <w:hyperlink r:id="rId12" w:history="1">
        <w:r w:rsidR="00D77271" w:rsidRPr="00D77271">
          <w:rPr>
            <w:rStyle w:val="Hyperlink"/>
          </w:rPr>
          <w:t>contact</w:t>
        </w:r>
      </w:hyperlink>
      <w:r w:rsidR="00D77271">
        <w:t xml:space="preserve"> Catalina Technology directly.</w:t>
      </w:r>
      <w:r w:rsidR="00752108">
        <w:t xml:space="preserve"> Metafile also plans on expanding the use of these integration tools to further expand the breadth of the MetaViewer for Microsoft Dynamics SL solution.</w:t>
      </w:r>
      <w:r w:rsidR="0001496D">
        <w:t xml:space="preserve">  No additional changes to the SL solution or upgrades to the Catalina or MetaViewer software will be made without prior approval by </w:t>
      </w:r>
      <w:r w:rsidR="00B05FFE">
        <w:t>by the customer</w:t>
      </w:r>
      <w:r w:rsidR="00271257">
        <w:t>.</w:t>
      </w:r>
    </w:p>
    <w:p w:rsidR="00AC2492" w:rsidRDefault="00752108" w:rsidP="00AC2492">
      <w:pPr>
        <w:rPr>
          <w:rStyle w:val="Heading2Char"/>
          <w:color w:val="365F91" w:themeColor="accent1" w:themeShade="BF"/>
          <w:sz w:val="28"/>
          <w:szCs w:val="28"/>
        </w:rPr>
      </w:pPr>
      <w:r>
        <w:t xml:space="preserve">For all support issues regarding the MetaViewer solution including </w:t>
      </w:r>
      <w:r w:rsidR="0001496D">
        <w:t xml:space="preserve">suspected </w:t>
      </w:r>
      <w:r>
        <w:t xml:space="preserve">issues with the CTAPI </w:t>
      </w:r>
      <w:r w:rsidR="0001496D">
        <w:t>Web Services</w:t>
      </w:r>
      <w:r>
        <w:t xml:space="preserve">, </w:t>
      </w:r>
      <w:r w:rsidR="00D71914">
        <w:t xml:space="preserve">the customer </w:t>
      </w:r>
      <w:r>
        <w:t xml:space="preserve">will use the MetaViewer Support contact process outlined in the MetaViewer Support Services Agreement. Metafile will work with </w:t>
      </w:r>
      <w:r w:rsidR="00D71914">
        <w:t xml:space="preserve">the customer </w:t>
      </w:r>
      <w:r>
        <w:t>and Catalina Technology</w:t>
      </w:r>
      <w:r w:rsidR="00D71914">
        <w:t>,</w:t>
      </w:r>
      <w:r>
        <w:t xml:space="preserve"> as necessary</w:t>
      </w:r>
      <w:r w:rsidR="00D71914">
        <w:t>,</w:t>
      </w:r>
      <w:r>
        <w:t xml:space="preserve"> to </w:t>
      </w:r>
      <w:r w:rsidR="00C33284">
        <w:t>resolve</w:t>
      </w:r>
      <w:r>
        <w:t xml:space="preserve"> the issue.</w:t>
      </w:r>
      <w:r w:rsidR="008A4E93">
        <w:t xml:space="preserve"> </w:t>
      </w:r>
    </w:p>
    <w:p w:rsidR="00271257" w:rsidRDefault="00271257" w:rsidP="00AC2492">
      <w:pPr>
        <w:rPr>
          <w:rStyle w:val="Heading2Char"/>
          <w:color w:val="365F91" w:themeColor="accent1" w:themeShade="BF"/>
          <w:sz w:val="28"/>
          <w:szCs w:val="28"/>
        </w:rPr>
      </w:pPr>
    </w:p>
    <w:p w:rsidR="00271257" w:rsidRDefault="00271257" w:rsidP="00AC2492">
      <w:pPr>
        <w:rPr>
          <w:rStyle w:val="Heading2Char"/>
          <w:color w:val="365F91" w:themeColor="accent1" w:themeShade="BF"/>
          <w:sz w:val="28"/>
          <w:szCs w:val="28"/>
        </w:rPr>
      </w:pPr>
    </w:p>
    <w:p w:rsidR="00271257" w:rsidRDefault="00271257" w:rsidP="00AC2492">
      <w:pPr>
        <w:rPr>
          <w:rStyle w:val="Heading2Char"/>
          <w:color w:val="365F91" w:themeColor="accent1" w:themeShade="BF"/>
          <w:sz w:val="28"/>
          <w:szCs w:val="28"/>
        </w:rPr>
      </w:pPr>
    </w:p>
    <w:p w:rsidR="00271257" w:rsidRDefault="00271257" w:rsidP="00AC2492">
      <w:pPr>
        <w:rPr>
          <w:rStyle w:val="Heading2Char"/>
          <w:color w:val="365F91" w:themeColor="accent1" w:themeShade="BF"/>
          <w:sz w:val="28"/>
          <w:szCs w:val="28"/>
        </w:rPr>
      </w:pPr>
    </w:p>
    <w:p w:rsidR="00271257" w:rsidRDefault="00271257" w:rsidP="00AC2492">
      <w:pPr>
        <w:rPr>
          <w:rStyle w:val="Heading2Char"/>
          <w:color w:val="365F91" w:themeColor="accent1" w:themeShade="BF"/>
          <w:sz w:val="28"/>
          <w:szCs w:val="28"/>
        </w:rPr>
      </w:pPr>
    </w:p>
    <w:p w:rsidR="00A5711E" w:rsidRDefault="007176A5" w:rsidP="00AC2492">
      <w:pPr>
        <w:rPr>
          <w:rStyle w:val="Heading2Char"/>
          <w:b w:val="0"/>
          <w:bCs w:val="0"/>
          <w:color w:val="365F91" w:themeColor="accent1" w:themeShade="BF"/>
          <w:sz w:val="28"/>
          <w:szCs w:val="28"/>
        </w:rPr>
      </w:pPr>
      <w:r w:rsidRPr="00A5711E">
        <w:rPr>
          <w:rStyle w:val="Heading2Char"/>
          <w:color w:val="365F91" w:themeColor="accent1" w:themeShade="BF"/>
          <w:sz w:val="28"/>
          <w:szCs w:val="28"/>
        </w:rPr>
        <w:t>Database</w:t>
      </w:r>
      <w:r w:rsidR="00A5711E" w:rsidRPr="00A5711E">
        <w:rPr>
          <w:rStyle w:val="Heading2Char"/>
          <w:color w:val="365F91" w:themeColor="accent1" w:themeShade="BF"/>
          <w:sz w:val="28"/>
          <w:szCs w:val="28"/>
        </w:rPr>
        <w:t xml:space="preserve"> Impact</w:t>
      </w:r>
    </w:p>
    <w:p w:rsidR="00A5711E" w:rsidRPr="00B43B47" w:rsidRDefault="00A5711E" w:rsidP="00D1645C">
      <w:pPr>
        <w:pStyle w:val="Heading2"/>
        <w:rPr>
          <w:rStyle w:val="Heading2Char"/>
        </w:rPr>
      </w:pPr>
      <w:r w:rsidRPr="00B43B47">
        <w:rPr>
          <w:rStyle w:val="Heading2Char"/>
          <w:b/>
          <w:bCs/>
        </w:rPr>
        <w:t xml:space="preserve">New </w:t>
      </w:r>
      <w:r w:rsidRPr="006C55CE">
        <w:rPr>
          <w:rStyle w:val="Heading2Char"/>
          <w:b/>
          <w:bCs/>
        </w:rPr>
        <w:t>SQL</w:t>
      </w:r>
      <w:r w:rsidRPr="00B43B47">
        <w:rPr>
          <w:rStyle w:val="Heading2Char"/>
          <w:b/>
          <w:bCs/>
        </w:rPr>
        <w:t xml:space="preserve"> Objects</w:t>
      </w:r>
    </w:p>
    <w:p w:rsidR="00A5711E" w:rsidRPr="00B43B47" w:rsidRDefault="00A5711E">
      <w:pPr>
        <w:rPr>
          <w:rStyle w:val="Heading2Char"/>
          <w:rFonts w:asciiTheme="minorHAnsi" w:hAnsiTheme="minorHAnsi"/>
          <w:b w:val="0"/>
          <w:bCs w:val="0"/>
          <w:color w:val="auto"/>
          <w:sz w:val="22"/>
          <w:szCs w:val="22"/>
        </w:rPr>
      </w:pPr>
      <w:r w:rsidRPr="00B43B47">
        <w:rPr>
          <w:rStyle w:val="Heading2Char"/>
          <w:rFonts w:asciiTheme="minorHAnsi" w:hAnsiTheme="minorHAnsi"/>
          <w:b w:val="0"/>
          <w:color w:val="auto"/>
          <w:sz w:val="22"/>
          <w:szCs w:val="22"/>
        </w:rPr>
        <w:t xml:space="preserve">The </w:t>
      </w:r>
      <w:r w:rsidR="0001496D">
        <w:rPr>
          <w:rStyle w:val="Heading2Char"/>
          <w:rFonts w:asciiTheme="minorHAnsi" w:hAnsiTheme="minorHAnsi"/>
          <w:b w:val="0"/>
          <w:color w:val="auto"/>
          <w:sz w:val="22"/>
          <w:szCs w:val="22"/>
        </w:rPr>
        <w:t>Web Services</w:t>
      </w:r>
      <w:r w:rsidRPr="00B43B47">
        <w:rPr>
          <w:rStyle w:val="Heading2Char"/>
          <w:rFonts w:asciiTheme="minorHAnsi" w:hAnsiTheme="minorHAnsi"/>
          <w:b w:val="0"/>
          <w:color w:val="auto"/>
          <w:sz w:val="22"/>
          <w:szCs w:val="22"/>
        </w:rPr>
        <w:t xml:space="preserve"> component</w:t>
      </w:r>
      <w:r w:rsidR="00870D06">
        <w:rPr>
          <w:rStyle w:val="Heading2Char"/>
          <w:rFonts w:asciiTheme="minorHAnsi" w:hAnsiTheme="minorHAnsi"/>
          <w:b w:val="0"/>
          <w:color w:val="auto"/>
          <w:sz w:val="22"/>
          <w:szCs w:val="22"/>
        </w:rPr>
        <w:t>s</w:t>
      </w:r>
      <w:r w:rsidRPr="00B43B47">
        <w:rPr>
          <w:rStyle w:val="Heading2Char"/>
          <w:rFonts w:asciiTheme="minorHAnsi" w:hAnsiTheme="minorHAnsi"/>
          <w:b w:val="0"/>
          <w:color w:val="auto"/>
          <w:sz w:val="22"/>
          <w:szCs w:val="22"/>
        </w:rPr>
        <w:t xml:space="preserve"> require </w:t>
      </w:r>
      <w:r w:rsidR="00D71914">
        <w:rPr>
          <w:rStyle w:val="Heading2Char"/>
          <w:rFonts w:asciiTheme="minorHAnsi" w:hAnsiTheme="minorHAnsi"/>
          <w:b w:val="0"/>
          <w:color w:val="auto"/>
          <w:sz w:val="22"/>
          <w:szCs w:val="22"/>
        </w:rPr>
        <w:t xml:space="preserve">only </w:t>
      </w:r>
      <w:r w:rsidR="00553C21">
        <w:rPr>
          <w:rStyle w:val="Heading2Char"/>
          <w:rFonts w:asciiTheme="minorHAnsi" w:hAnsiTheme="minorHAnsi"/>
          <w:b w:val="0"/>
          <w:color w:val="auto"/>
          <w:sz w:val="22"/>
          <w:szCs w:val="22"/>
        </w:rPr>
        <w:t xml:space="preserve">additions </w:t>
      </w:r>
      <w:r w:rsidRPr="00B43B47">
        <w:rPr>
          <w:rStyle w:val="Heading2Char"/>
          <w:rFonts w:asciiTheme="minorHAnsi" w:hAnsiTheme="minorHAnsi"/>
          <w:b w:val="0"/>
          <w:color w:val="auto"/>
          <w:sz w:val="22"/>
          <w:szCs w:val="22"/>
        </w:rPr>
        <w:t xml:space="preserve">to the </w:t>
      </w:r>
      <w:r w:rsidR="00870D06">
        <w:rPr>
          <w:rStyle w:val="Heading2Char"/>
          <w:rFonts w:asciiTheme="minorHAnsi" w:hAnsiTheme="minorHAnsi"/>
          <w:b w:val="0"/>
          <w:color w:val="auto"/>
          <w:sz w:val="22"/>
          <w:szCs w:val="22"/>
        </w:rPr>
        <w:t xml:space="preserve">Dynamic </w:t>
      </w:r>
      <w:r w:rsidRPr="00B43B47">
        <w:rPr>
          <w:rStyle w:val="Heading2Char"/>
          <w:rFonts w:asciiTheme="minorHAnsi" w:hAnsiTheme="minorHAnsi"/>
          <w:b w:val="0"/>
          <w:color w:val="auto"/>
          <w:sz w:val="22"/>
          <w:szCs w:val="22"/>
        </w:rPr>
        <w:t xml:space="preserve">SL </w:t>
      </w:r>
      <w:r w:rsidR="00870D06">
        <w:rPr>
          <w:rStyle w:val="Heading2Char"/>
          <w:rFonts w:asciiTheme="minorHAnsi" w:hAnsiTheme="minorHAnsi"/>
          <w:b w:val="0"/>
          <w:color w:val="auto"/>
          <w:sz w:val="22"/>
          <w:szCs w:val="22"/>
        </w:rPr>
        <w:t>company</w:t>
      </w:r>
      <w:r w:rsidRPr="00B43B47">
        <w:rPr>
          <w:rStyle w:val="Heading2Char"/>
          <w:rFonts w:asciiTheme="minorHAnsi" w:hAnsiTheme="minorHAnsi"/>
          <w:b w:val="0"/>
          <w:color w:val="auto"/>
          <w:sz w:val="22"/>
          <w:szCs w:val="22"/>
        </w:rPr>
        <w:t xml:space="preserve"> databases. </w:t>
      </w:r>
      <w:r w:rsidR="007A0570">
        <w:rPr>
          <w:rStyle w:val="Heading2Char"/>
          <w:rFonts w:asciiTheme="minorHAnsi" w:hAnsiTheme="minorHAnsi"/>
          <w:b w:val="0"/>
          <w:color w:val="auto"/>
          <w:sz w:val="22"/>
          <w:szCs w:val="22"/>
        </w:rPr>
        <w:t>There are no changes to existing Dynamics SL database objects.</w:t>
      </w:r>
    </w:p>
    <w:p w:rsidR="00A5711E" w:rsidRPr="00B43B47" w:rsidRDefault="00A5711E">
      <w:pPr>
        <w:rPr>
          <w:rStyle w:val="Heading2Char"/>
          <w:rFonts w:asciiTheme="minorHAnsi" w:hAnsiTheme="minorHAnsi"/>
          <w:b w:val="0"/>
          <w:bCs w:val="0"/>
          <w:color w:val="auto"/>
          <w:sz w:val="22"/>
          <w:szCs w:val="22"/>
        </w:rPr>
      </w:pPr>
      <w:r w:rsidRPr="00B43B47">
        <w:rPr>
          <w:rStyle w:val="Heading2Char"/>
          <w:rFonts w:asciiTheme="minorHAnsi" w:hAnsiTheme="minorHAnsi"/>
          <w:b w:val="0"/>
          <w:color w:val="auto"/>
          <w:sz w:val="22"/>
          <w:szCs w:val="22"/>
        </w:rPr>
        <w:t xml:space="preserve">The </w:t>
      </w:r>
      <w:r w:rsidR="007A0570">
        <w:rPr>
          <w:rStyle w:val="Heading2Char"/>
          <w:rFonts w:asciiTheme="minorHAnsi" w:hAnsiTheme="minorHAnsi"/>
          <w:b w:val="0"/>
          <w:color w:val="auto"/>
          <w:sz w:val="22"/>
          <w:szCs w:val="22"/>
        </w:rPr>
        <w:t>additions</w:t>
      </w:r>
      <w:r w:rsidR="007A0570" w:rsidRPr="00B43B47">
        <w:rPr>
          <w:rStyle w:val="Heading2Char"/>
          <w:rFonts w:asciiTheme="minorHAnsi" w:hAnsiTheme="minorHAnsi"/>
          <w:b w:val="0"/>
          <w:color w:val="auto"/>
          <w:sz w:val="22"/>
          <w:szCs w:val="22"/>
        </w:rPr>
        <w:t xml:space="preserve"> </w:t>
      </w:r>
      <w:r w:rsidRPr="00B43B47">
        <w:rPr>
          <w:rStyle w:val="Heading2Char"/>
          <w:rFonts w:asciiTheme="minorHAnsi" w:hAnsiTheme="minorHAnsi"/>
          <w:b w:val="0"/>
          <w:color w:val="auto"/>
          <w:sz w:val="22"/>
          <w:szCs w:val="22"/>
        </w:rPr>
        <w:t>include</w:t>
      </w:r>
      <w:r w:rsidR="007A0570">
        <w:rPr>
          <w:rStyle w:val="Heading2Char"/>
          <w:rFonts w:asciiTheme="minorHAnsi" w:hAnsiTheme="minorHAnsi"/>
          <w:b w:val="0"/>
          <w:color w:val="auto"/>
          <w:sz w:val="22"/>
          <w:szCs w:val="22"/>
        </w:rPr>
        <w:t xml:space="preserve"> new</w:t>
      </w:r>
      <w:r w:rsidRPr="00B43B47">
        <w:rPr>
          <w:rStyle w:val="Heading2Char"/>
          <w:rFonts w:asciiTheme="minorHAnsi" w:hAnsiTheme="minorHAnsi"/>
          <w:b w:val="0"/>
          <w:color w:val="auto"/>
          <w:sz w:val="22"/>
          <w:szCs w:val="22"/>
        </w:rPr>
        <w:t>:</w:t>
      </w:r>
    </w:p>
    <w:p w:rsidR="00A5711E" w:rsidRPr="00D1645C" w:rsidRDefault="007A0570" w:rsidP="00D1645C">
      <w:pPr>
        <w:pStyle w:val="ListParagraph"/>
        <w:numPr>
          <w:ilvl w:val="0"/>
          <w:numId w:val="21"/>
        </w:numPr>
        <w:rPr>
          <w:rStyle w:val="Heading2Char"/>
          <w:rFonts w:asciiTheme="minorHAnsi" w:hAnsiTheme="minorHAnsi"/>
          <w:b w:val="0"/>
          <w:color w:val="auto"/>
          <w:sz w:val="22"/>
          <w:szCs w:val="22"/>
        </w:rPr>
      </w:pPr>
      <w:r>
        <w:rPr>
          <w:rStyle w:val="Heading2Char"/>
          <w:rFonts w:asciiTheme="minorHAnsi" w:hAnsiTheme="minorHAnsi"/>
          <w:b w:val="0"/>
          <w:color w:val="auto"/>
          <w:sz w:val="22"/>
          <w:szCs w:val="22"/>
        </w:rPr>
        <w:t>T</w:t>
      </w:r>
      <w:r w:rsidR="00870D06" w:rsidRPr="006C55CE">
        <w:rPr>
          <w:rStyle w:val="Heading2Char"/>
          <w:rFonts w:asciiTheme="minorHAnsi" w:hAnsiTheme="minorHAnsi"/>
          <w:b w:val="0"/>
          <w:color w:val="auto"/>
          <w:sz w:val="22"/>
          <w:szCs w:val="22"/>
        </w:rPr>
        <w:t xml:space="preserve">ables </w:t>
      </w:r>
      <w:r w:rsidR="00A5711E" w:rsidRPr="006C55CE">
        <w:rPr>
          <w:rStyle w:val="Heading2Char"/>
          <w:rFonts w:asciiTheme="minorHAnsi" w:hAnsiTheme="minorHAnsi"/>
          <w:b w:val="0"/>
          <w:color w:val="auto"/>
          <w:sz w:val="22"/>
          <w:szCs w:val="22"/>
        </w:rPr>
        <w:t xml:space="preserve">used by the </w:t>
      </w:r>
      <w:r w:rsidR="0001496D">
        <w:rPr>
          <w:rStyle w:val="Heading2Char"/>
          <w:rFonts w:asciiTheme="minorHAnsi" w:hAnsiTheme="minorHAnsi"/>
          <w:b w:val="0"/>
          <w:color w:val="auto"/>
          <w:sz w:val="22"/>
          <w:szCs w:val="22"/>
        </w:rPr>
        <w:t>Web Services</w:t>
      </w:r>
      <w:r w:rsidR="00A5711E" w:rsidRPr="006C55CE">
        <w:rPr>
          <w:rStyle w:val="Heading2Char"/>
          <w:rFonts w:asciiTheme="minorHAnsi" w:hAnsiTheme="minorHAnsi"/>
          <w:b w:val="0"/>
          <w:color w:val="auto"/>
          <w:sz w:val="22"/>
          <w:szCs w:val="22"/>
        </w:rPr>
        <w:t>.</w:t>
      </w:r>
      <w:r w:rsidR="00FB1C2B" w:rsidRPr="006C55CE">
        <w:rPr>
          <w:rStyle w:val="Heading2Char"/>
          <w:rFonts w:asciiTheme="minorHAnsi" w:hAnsiTheme="minorHAnsi"/>
          <w:b w:val="0"/>
          <w:color w:val="auto"/>
          <w:sz w:val="22"/>
          <w:szCs w:val="22"/>
        </w:rPr>
        <w:t xml:space="preserve"> They are infrastructure tables </w:t>
      </w:r>
      <w:r w:rsidR="00957096" w:rsidRPr="006C55CE">
        <w:rPr>
          <w:rStyle w:val="Heading2Char"/>
          <w:rFonts w:asciiTheme="minorHAnsi" w:hAnsiTheme="minorHAnsi"/>
          <w:b w:val="0"/>
          <w:color w:val="auto"/>
          <w:sz w:val="22"/>
          <w:szCs w:val="22"/>
        </w:rPr>
        <w:t>used for logging</w:t>
      </w:r>
      <w:r w:rsidR="00FB1C2B" w:rsidRPr="006C55CE">
        <w:rPr>
          <w:rStyle w:val="Heading2Char"/>
          <w:rFonts w:asciiTheme="minorHAnsi" w:hAnsiTheme="minorHAnsi"/>
          <w:b w:val="0"/>
          <w:color w:val="auto"/>
          <w:sz w:val="22"/>
          <w:szCs w:val="22"/>
        </w:rPr>
        <w:t xml:space="preserve">, </w:t>
      </w:r>
      <w:r w:rsidR="00957096" w:rsidRPr="006C55CE">
        <w:rPr>
          <w:rStyle w:val="Heading2Char"/>
          <w:rFonts w:asciiTheme="minorHAnsi" w:hAnsiTheme="minorHAnsi"/>
          <w:b w:val="0"/>
          <w:color w:val="auto"/>
          <w:sz w:val="22"/>
          <w:szCs w:val="22"/>
        </w:rPr>
        <w:t xml:space="preserve">storing </w:t>
      </w:r>
      <w:r w:rsidR="00FB1C2B" w:rsidRPr="006C55CE">
        <w:rPr>
          <w:rStyle w:val="Heading2Char"/>
          <w:rFonts w:asciiTheme="minorHAnsi" w:hAnsiTheme="minorHAnsi"/>
          <w:b w:val="0"/>
          <w:color w:val="auto"/>
          <w:sz w:val="22"/>
          <w:szCs w:val="22"/>
        </w:rPr>
        <w:t>email templates</w:t>
      </w:r>
      <w:r w:rsidR="00C46C4F" w:rsidRPr="006C55CE">
        <w:rPr>
          <w:rStyle w:val="Heading2Char"/>
          <w:rFonts w:asciiTheme="minorHAnsi" w:hAnsiTheme="minorHAnsi"/>
          <w:b w:val="0"/>
          <w:color w:val="auto"/>
          <w:sz w:val="22"/>
          <w:szCs w:val="22"/>
        </w:rPr>
        <w:t xml:space="preserve"> settings</w:t>
      </w:r>
      <w:r w:rsidR="00FB1C2B" w:rsidRPr="006C55CE">
        <w:rPr>
          <w:rStyle w:val="Heading2Char"/>
          <w:rFonts w:asciiTheme="minorHAnsi" w:hAnsiTheme="minorHAnsi"/>
          <w:b w:val="0"/>
          <w:color w:val="auto"/>
          <w:sz w:val="22"/>
          <w:szCs w:val="22"/>
        </w:rPr>
        <w:t xml:space="preserve">, and other </w:t>
      </w:r>
      <w:r w:rsidR="00957096" w:rsidRPr="006C55CE">
        <w:rPr>
          <w:rStyle w:val="Heading2Char"/>
          <w:rFonts w:asciiTheme="minorHAnsi" w:hAnsiTheme="minorHAnsi"/>
          <w:b w:val="0"/>
          <w:color w:val="auto"/>
          <w:sz w:val="22"/>
          <w:szCs w:val="22"/>
        </w:rPr>
        <w:t>generic</w:t>
      </w:r>
      <w:r w:rsidR="00FB1C2B" w:rsidRPr="006C55CE">
        <w:rPr>
          <w:rStyle w:val="Heading2Char"/>
          <w:rFonts w:asciiTheme="minorHAnsi" w:hAnsiTheme="minorHAnsi"/>
          <w:b w:val="0"/>
          <w:color w:val="auto"/>
          <w:sz w:val="22"/>
          <w:szCs w:val="22"/>
        </w:rPr>
        <w:t xml:space="preserve"> settings.</w:t>
      </w:r>
    </w:p>
    <w:p w:rsidR="00A5711E" w:rsidRPr="006C55CE" w:rsidRDefault="007A0570" w:rsidP="00D1645C">
      <w:pPr>
        <w:pStyle w:val="ListParagraph"/>
        <w:numPr>
          <w:ilvl w:val="0"/>
          <w:numId w:val="21"/>
        </w:numPr>
        <w:rPr>
          <w:rStyle w:val="Heading2Char"/>
          <w:rFonts w:asciiTheme="minorHAnsi" w:hAnsiTheme="minorHAnsi"/>
          <w:b w:val="0"/>
          <w:color w:val="auto"/>
          <w:sz w:val="22"/>
          <w:szCs w:val="22"/>
        </w:rPr>
      </w:pPr>
      <w:r>
        <w:rPr>
          <w:rStyle w:val="Heading2Char"/>
          <w:rFonts w:asciiTheme="minorHAnsi" w:hAnsiTheme="minorHAnsi"/>
          <w:b w:val="0"/>
          <w:color w:val="auto"/>
          <w:sz w:val="22"/>
          <w:szCs w:val="22"/>
        </w:rPr>
        <w:t>F</w:t>
      </w:r>
      <w:r w:rsidR="00035016" w:rsidRPr="006C55CE">
        <w:rPr>
          <w:rStyle w:val="Heading2Char"/>
          <w:rFonts w:asciiTheme="minorHAnsi" w:hAnsiTheme="minorHAnsi"/>
          <w:b w:val="0"/>
          <w:color w:val="auto"/>
          <w:sz w:val="22"/>
          <w:szCs w:val="22"/>
        </w:rPr>
        <w:t>unctions</w:t>
      </w:r>
      <w:r w:rsidR="002373B3" w:rsidRPr="006C55CE">
        <w:rPr>
          <w:rStyle w:val="Heading2Char"/>
          <w:rFonts w:asciiTheme="minorHAnsi" w:hAnsiTheme="minorHAnsi"/>
          <w:b w:val="0"/>
          <w:color w:val="auto"/>
          <w:sz w:val="22"/>
          <w:szCs w:val="22"/>
        </w:rPr>
        <w:t xml:space="preserve"> </w:t>
      </w:r>
      <w:r w:rsidR="009F6749" w:rsidRPr="006C55CE">
        <w:rPr>
          <w:rStyle w:val="Heading2Char"/>
          <w:rFonts w:asciiTheme="minorHAnsi" w:hAnsiTheme="minorHAnsi"/>
          <w:b w:val="0"/>
          <w:color w:val="auto"/>
          <w:sz w:val="22"/>
          <w:szCs w:val="22"/>
        </w:rPr>
        <w:t>used to split data and get the billing month span</w:t>
      </w:r>
      <w:r w:rsidR="00A5711E" w:rsidRPr="006C55CE">
        <w:rPr>
          <w:rStyle w:val="Heading2Char"/>
          <w:rFonts w:asciiTheme="minorHAnsi" w:hAnsiTheme="minorHAnsi"/>
          <w:b w:val="0"/>
          <w:color w:val="auto"/>
          <w:sz w:val="22"/>
          <w:szCs w:val="22"/>
        </w:rPr>
        <w:t>.</w:t>
      </w:r>
    </w:p>
    <w:p w:rsidR="00035016" w:rsidRPr="006C55CE" w:rsidRDefault="007A0570" w:rsidP="00D1645C">
      <w:pPr>
        <w:pStyle w:val="ListParagraph"/>
        <w:numPr>
          <w:ilvl w:val="0"/>
          <w:numId w:val="21"/>
        </w:numPr>
        <w:rPr>
          <w:rStyle w:val="Heading2Char"/>
          <w:rFonts w:asciiTheme="minorHAnsi" w:hAnsiTheme="minorHAnsi"/>
          <w:b w:val="0"/>
          <w:color w:val="auto"/>
          <w:sz w:val="22"/>
          <w:szCs w:val="22"/>
        </w:rPr>
      </w:pPr>
      <w:r>
        <w:rPr>
          <w:rStyle w:val="Heading2Char"/>
          <w:rFonts w:asciiTheme="minorHAnsi" w:hAnsiTheme="minorHAnsi"/>
          <w:b w:val="0"/>
          <w:color w:val="auto"/>
          <w:sz w:val="22"/>
          <w:szCs w:val="22"/>
        </w:rPr>
        <w:t>S</w:t>
      </w:r>
      <w:r w:rsidR="00A5711E" w:rsidRPr="006C55CE">
        <w:rPr>
          <w:rStyle w:val="Heading2Char"/>
          <w:rFonts w:asciiTheme="minorHAnsi" w:hAnsiTheme="minorHAnsi"/>
          <w:b w:val="0"/>
          <w:color w:val="auto"/>
          <w:sz w:val="22"/>
          <w:szCs w:val="22"/>
        </w:rPr>
        <w:t xml:space="preserve">tored procedures </w:t>
      </w:r>
      <w:r w:rsidR="00752108">
        <w:rPr>
          <w:rStyle w:val="Heading2Char"/>
          <w:rFonts w:asciiTheme="minorHAnsi" w:hAnsiTheme="minorHAnsi"/>
          <w:b w:val="0"/>
          <w:color w:val="auto"/>
          <w:sz w:val="22"/>
          <w:szCs w:val="22"/>
        </w:rPr>
        <w:t>provided</w:t>
      </w:r>
      <w:r w:rsidR="00752108" w:rsidRPr="006C55CE">
        <w:rPr>
          <w:rStyle w:val="Heading2Char"/>
          <w:rFonts w:asciiTheme="minorHAnsi" w:hAnsiTheme="minorHAnsi"/>
          <w:b w:val="0"/>
          <w:color w:val="auto"/>
          <w:sz w:val="22"/>
          <w:szCs w:val="22"/>
        </w:rPr>
        <w:t xml:space="preserve"> </w:t>
      </w:r>
      <w:r w:rsidR="00035016" w:rsidRPr="006C55CE">
        <w:rPr>
          <w:rStyle w:val="Heading2Char"/>
          <w:rFonts w:asciiTheme="minorHAnsi" w:hAnsiTheme="minorHAnsi"/>
          <w:b w:val="0"/>
          <w:color w:val="auto"/>
          <w:sz w:val="22"/>
          <w:szCs w:val="22"/>
        </w:rPr>
        <w:t xml:space="preserve">by </w:t>
      </w:r>
      <w:r w:rsidR="00D06FF2">
        <w:rPr>
          <w:rStyle w:val="Heading2Char"/>
          <w:rFonts w:asciiTheme="minorHAnsi" w:hAnsiTheme="minorHAnsi"/>
          <w:b w:val="0"/>
          <w:color w:val="auto"/>
          <w:sz w:val="22"/>
          <w:szCs w:val="22"/>
        </w:rPr>
        <w:t>Catalina Technology</w:t>
      </w:r>
      <w:r w:rsidR="00035016" w:rsidRPr="006C55CE">
        <w:rPr>
          <w:rStyle w:val="Heading2Char"/>
          <w:rFonts w:asciiTheme="minorHAnsi" w:hAnsiTheme="minorHAnsi"/>
          <w:b w:val="0"/>
          <w:color w:val="auto"/>
          <w:sz w:val="22"/>
          <w:szCs w:val="22"/>
        </w:rPr>
        <w:t xml:space="preserve"> to integrate with Dynamics SL. These include lookups, validations, inserts, </w:t>
      </w:r>
      <w:r w:rsidR="00FB1C2B" w:rsidRPr="006C55CE">
        <w:rPr>
          <w:rStyle w:val="Heading2Char"/>
          <w:rFonts w:asciiTheme="minorHAnsi" w:hAnsiTheme="minorHAnsi"/>
          <w:b w:val="0"/>
          <w:color w:val="auto"/>
          <w:sz w:val="22"/>
          <w:szCs w:val="22"/>
        </w:rPr>
        <w:t>and updat</w:t>
      </w:r>
      <w:r w:rsidR="00035016" w:rsidRPr="006C55CE">
        <w:rPr>
          <w:rStyle w:val="Heading2Char"/>
          <w:rFonts w:asciiTheme="minorHAnsi" w:hAnsiTheme="minorHAnsi"/>
          <w:b w:val="0"/>
          <w:color w:val="auto"/>
          <w:sz w:val="22"/>
          <w:szCs w:val="22"/>
        </w:rPr>
        <w:t>es</w:t>
      </w:r>
      <w:r w:rsidR="00FB1C2B" w:rsidRPr="006C55CE">
        <w:rPr>
          <w:rStyle w:val="Heading2Char"/>
          <w:rFonts w:asciiTheme="minorHAnsi" w:hAnsiTheme="minorHAnsi"/>
          <w:b w:val="0"/>
          <w:color w:val="auto"/>
          <w:sz w:val="22"/>
          <w:szCs w:val="22"/>
        </w:rPr>
        <w:t xml:space="preserve"> </w:t>
      </w:r>
      <w:r w:rsidR="00035016" w:rsidRPr="006C55CE">
        <w:rPr>
          <w:rStyle w:val="Heading2Char"/>
          <w:rFonts w:asciiTheme="minorHAnsi" w:hAnsiTheme="minorHAnsi"/>
          <w:b w:val="0"/>
          <w:color w:val="auto"/>
          <w:sz w:val="22"/>
          <w:szCs w:val="22"/>
        </w:rPr>
        <w:t xml:space="preserve">to Dynamics </w:t>
      </w:r>
      <w:r w:rsidR="00FB1C2B" w:rsidRPr="006C55CE">
        <w:rPr>
          <w:rStyle w:val="Heading2Char"/>
          <w:rFonts w:asciiTheme="minorHAnsi" w:hAnsiTheme="minorHAnsi"/>
          <w:b w:val="0"/>
          <w:color w:val="auto"/>
          <w:sz w:val="22"/>
          <w:szCs w:val="22"/>
        </w:rPr>
        <w:t>SL.</w:t>
      </w:r>
    </w:p>
    <w:p w:rsidR="00271257" w:rsidRDefault="00752108" w:rsidP="00F73199">
      <w:pPr>
        <w:rPr>
          <w:rStyle w:val="Heading2Char"/>
          <w:rFonts w:asciiTheme="minorHAnsi" w:hAnsiTheme="minorHAnsi"/>
          <w:b w:val="0"/>
          <w:color w:val="auto"/>
          <w:sz w:val="22"/>
          <w:szCs w:val="22"/>
        </w:rPr>
      </w:pPr>
      <w:r>
        <w:rPr>
          <w:rStyle w:val="Heading2Char"/>
          <w:rFonts w:asciiTheme="minorHAnsi" w:hAnsiTheme="minorHAnsi"/>
          <w:b w:val="0"/>
          <w:color w:val="auto"/>
          <w:sz w:val="22"/>
          <w:szCs w:val="22"/>
        </w:rPr>
        <w:t>As outlined earlier, o</w:t>
      </w:r>
      <w:r w:rsidR="00035016">
        <w:rPr>
          <w:rStyle w:val="Heading2Char"/>
          <w:rFonts w:asciiTheme="minorHAnsi" w:hAnsiTheme="minorHAnsi"/>
          <w:b w:val="0"/>
          <w:color w:val="auto"/>
          <w:sz w:val="22"/>
          <w:szCs w:val="22"/>
        </w:rPr>
        <w:t xml:space="preserve">nly a small portion of </w:t>
      </w:r>
      <w:r>
        <w:rPr>
          <w:rStyle w:val="Heading2Char"/>
          <w:rFonts w:asciiTheme="minorHAnsi" w:hAnsiTheme="minorHAnsi"/>
          <w:b w:val="0"/>
          <w:color w:val="auto"/>
          <w:sz w:val="22"/>
          <w:szCs w:val="22"/>
        </w:rPr>
        <w:t xml:space="preserve">the </w:t>
      </w:r>
      <w:r w:rsidR="0001496D">
        <w:rPr>
          <w:rStyle w:val="Heading2Char"/>
          <w:rFonts w:asciiTheme="minorHAnsi" w:hAnsiTheme="minorHAnsi"/>
          <w:b w:val="0"/>
          <w:color w:val="auto"/>
          <w:sz w:val="22"/>
          <w:szCs w:val="22"/>
        </w:rPr>
        <w:t>Web Services</w:t>
      </w:r>
      <w:r>
        <w:rPr>
          <w:rStyle w:val="Heading2Char"/>
          <w:rFonts w:asciiTheme="minorHAnsi" w:hAnsiTheme="minorHAnsi"/>
          <w:b w:val="0"/>
          <w:color w:val="auto"/>
          <w:sz w:val="22"/>
          <w:szCs w:val="22"/>
        </w:rPr>
        <w:t xml:space="preserve"> provided in the Finance Module </w:t>
      </w:r>
      <w:r w:rsidR="008D4E2C">
        <w:rPr>
          <w:rStyle w:val="Heading2Char"/>
          <w:rFonts w:asciiTheme="minorHAnsi" w:hAnsiTheme="minorHAnsi"/>
          <w:b w:val="0"/>
          <w:color w:val="auto"/>
          <w:sz w:val="22"/>
          <w:szCs w:val="22"/>
        </w:rPr>
        <w:t xml:space="preserve">will be </w:t>
      </w:r>
      <w:r w:rsidR="00035016">
        <w:rPr>
          <w:rStyle w:val="Heading2Char"/>
          <w:rFonts w:asciiTheme="minorHAnsi" w:hAnsiTheme="minorHAnsi"/>
          <w:b w:val="0"/>
          <w:color w:val="auto"/>
          <w:sz w:val="22"/>
          <w:szCs w:val="22"/>
        </w:rPr>
        <w:t xml:space="preserve">utilized by </w:t>
      </w:r>
      <w:r w:rsidR="008D4E2C">
        <w:rPr>
          <w:rStyle w:val="Heading2Char"/>
          <w:rFonts w:asciiTheme="minorHAnsi" w:hAnsiTheme="minorHAnsi"/>
          <w:b w:val="0"/>
          <w:color w:val="auto"/>
          <w:sz w:val="22"/>
          <w:szCs w:val="22"/>
        </w:rPr>
        <w:t xml:space="preserve">your </w:t>
      </w:r>
      <w:r>
        <w:rPr>
          <w:rStyle w:val="Heading2Char"/>
          <w:rFonts w:asciiTheme="minorHAnsi" w:hAnsiTheme="minorHAnsi"/>
          <w:b w:val="0"/>
          <w:color w:val="auto"/>
          <w:sz w:val="22"/>
          <w:szCs w:val="22"/>
        </w:rPr>
        <w:t xml:space="preserve">current </w:t>
      </w:r>
      <w:r w:rsidR="00035016">
        <w:rPr>
          <w:rStyle w:val="Heading2Char"/>
          <w:rFonts w:asciiTheme="minorHAnsi" w:hAnsiTheme="minorHAnsi"/>
          <w:b w:val="0"/>
          <w:color w:val="auto"/>
          <w:sz w:val="22"/>
          <w:szCs w:val="22"/>
        </w:rPr>
        <w:t>MetaViewer</w:t>
      </w:r>
      <w:r w:rsidR="008D4E2C">
        <w:rPr>
          <w:rStyle w:val="Heading2Char"/>
          <w:rFonts w:asciiTheme="minorHAnsi" w:hAnsiTheme="minorHAnsi"/>
          <w:b w:val="0"/>
          <w:color w:val="auto"/>
          <w:sz w:val="22"/>
          <w:szCs w:val="22"/>
        </w:rPr>
        <w:t xml:space="preserve"> integration</w:t>
      </w:r>
      <w:r w:rsidR="00035016">
        <w:rPr>
          <w:rStyle w:val="Heading2Char"/>
          <w:rFonts w:asciiTheme="minorHAnsi" w:hAnsiTheme="minorHAnsi"/>
          <w:b w:val="0"/>
          <w:color w:val="auto"/>
          <w:sz w:val="22"/>
          <w:szCs w:val="22"/>
        </w:rPr>
        <w:t>.</w:t>
      </w:r>
      <w:r w:rsidR="00C46C4F" w:rsidRPr="00035016">
        <w:rPr>
          <w:rStyle w:val="Heading2Char"/>
          <w:rFonts w:asciiTheme="minorHAnsi" w:hAnsiTheme="minorHAnsi"/>
          <w:b w:val="0"/>
          <w:color w:val="auto"/>
          <w:sz w:val="22"/>
          <w:szCs w:val="22"/>
        </w:rPr>
        <w:t xml:space="preserve"> </w:t>
      </w:r>
      <w:r w:rsidR="00F73199">
        <w:rPr>
          <w:rStyle w:val="Heading2Char"/>
          <w:rFonts w:asciiTheme="minorHAnsi" w:hAnsiTheme="minorHAnsi"/>
          <w:b w:val="0"/>
          <w:color w:val="auto"/>
          <w:sz w:val="22"/>
          <w:szCs w:val="22"/>
        </w:rPr>
        <w:t xml:space="preserve">These additional Web Services are part of the standard Catalina Technology integration package and can be used by MetaViewer or other applications to expand the integration with </w:t>
      </w:r>
      <w:r w:rsidR="00D71914">
        <w:rPr>
          <w:rStyle w:val="Heading2Char"/>
          <w:rFonts w:asciiTheme="minorHAnsi" w:hAnsiTheme="minorHAnsi"/>
          <w:b w:val="0"/>
          <w:color w:val="auto"/>
          <w:sz w:val="22"/>
          <w:szCs w:val="22"/>
        </w:rPr>
        <w:t xml:space="preserve">Dynamics </w:t>
      </w:r>
      <w:r w:rsidR="00F73199">
        <w:rPr>
          <w:rStyle w:val="Heading2Char"/>
          <w:rFonts w:asciiTheme="minorHAnsi" w:hAnsiTheme="minorHAnsi"/>
          <w:b w:val="0"/>
          <w:color w:val="auto"/>
          <w:sz w:val="22"/>
          <w:szCs w:val="22"/>
        </w:rPr>
        <w:t>SL</w:t>
      </w:r>
      <w:r w:rsidR="00271257">
        <w:rPr>
          <w:rStyle w:val="Heading2Char"/>
          <w:rFonts w:asciiTheme="minorHAnsi" w:hAnsiTheme="minorHAnsi"/>
          <w:b w:val="0"/>
          <w:color w:val="auto"/>
          <w:sz w:val="22"/>
          <w:szCs w:val="22"/>
        </w:rPr>
        <w:t>.</w:t>
      </w:r>
    </w:p>
    <w:p w:rsidR="00271257" w:rsidRDefault="00271257" w:rsidP="00F73199">
      <w:pPr>
        <w:rPr>
          <w:rStyle w:val="Heading2Char"/>
          <w:rFonts w:asciiTheme="minorHAnsi" w:hAnsiTheme="minorHAnsi"/>
          <w:b w:val="0"/>
          <w:color w:val="auto"/>
          <w:sz w:val="22"/>
          <w:szCs w:val="22"/>
        </w:rPr>
      </w:pPr>
    </w:p>
    <w:p w:rsidR="00A5711E" w:rsidRPr="00B43B47" w:rsidRDefault="00B43B47" w:rsidP="00F73199">
      <w:pPr>
        <w:rPr>
          <w:rStyle w:val="Heading2Char"/>
        </w:rPr>
      </w:pPr>
      <w:r>
        <w:rPr>
          <w:rStyle w:val="Heading2Char"/>
        </w:rPr>
        <w:t>Data Access</w:t>
      </w:r>
    </w:p>
    <w:p w:rsidR="00FB031A" w:rsidRDefault="00FB031A">
      <w:pPr>
        <w:rPr>
          <w:rStyle w:val="Heading2Char"/>
          <w:rFonts w:asciiTheme="minorHAnsi" w:hAnsiTheme="minorHAnsi"/>
          <w:b w:val="0"/>
          <w:color w:val="auto"/>
          <w:sz w:val="22"/>
          <w:szCs w:val="22"/>
        </w:rPr>
      </w:pPr>
      <w:r>
        <w:rPr>
          <w:rStyle w:val="Heading2Char"/>
          <w:rFonts w:asciiTheme="minorHAnsi" w:hAnsiTheme="minorHAnsi"/>
          <w:b w:val="0"/>
          <w:color w:val="auto"/>
          <w:sz w:val="22"/>
          <w:szCs w:val="22"/>
        </w:rPr>
        <w:t>MetaViewer has t</w:t>
      </w:r>
      <w:r w:rsidR="005564AC">
        <w:rPr>
          <w:rStyle w:val="Heading2Char"/>
          <w:rFonts w:asciiTheme="minorHAnsi" w:hAnsiTheme="minorHAnsi"/>
          <w:b w:val="0"/>
          <w:color w:val="auto"/>
          <w:sz w:val="22"/>
          <w:szCs w:val="22"/>
        </w:rPr>
        <w:t>w</w:t>
      </w:r>
      <w:r>
        <w:rPr>
          <w:rStyle w:val="Heading2Char"/>
          <w:rFonts w:asciiTheme="minorHAnsi" w:hAnsiTheme="minorHAnsi"/>
          <w:b w:val="0"/>
          <w:color w:val="auto"/>
          <w:sz w:val="22"/>
          <w:szCs w:val="22"/>
        </w:rPr>
        <w:t>o components to its integration for Dynamics SL</w:t>
      </w:r>
      <w:r w:rsidR="005564AC">
        <w:rPr>
          <w:rStyle w:val="Heading2Char"/>
          <w:rFonts w:asciiTheme="minorHAnsi" w:hAnsiTheme="minorHAnsi"/>
          <w:b w:val="0"/>
          <w:color w:val="auto"/>
          <w:sz w:val="22"/>
          <w:szCs w:val="22"/>
        </w:rPr>
        <w:t>, lookups and exports. The lookups are</w:t>
      </w:r>
      <w:r>
        <w:rPr>
          <w:rStyle w:val="Heading2Char"/>
          <w:rFonts w:asciiTheme="minorHAnsi" w:hAnsiTheme="minorHAnsi"/>
          <w:b w:val="0"/>
          <w:color w:val="auto"/>
          <w:sz w:val="22"/>
          <w:szCs w:val="22"/>
        </w:rPr>
        <w:t xml:space="preserve"> handled </w:t>
      </w:r>
      <w:r w:rsidR="005564AC">
        <w:rPr>
          <w:rStyle w:val="Heading2Char"/>
          <w:rFonts w:asciiTheme="minorHAnsi" w:hAnsiTheme="minorHAnsi"/>
          <w:b w:val="0"/>
          <w:color w:val="auto"/>
          <w:sz w:val="22"/>
          <w:szCs w:val="22"/>
        </w:rPr>
        <w:t>via</w:t>
      </w:r>
      <w:r>
        <w:rPr>
          <w:rStyle w:val="Heading2Char"/>
          <w:rFonts w:asciiTheme="minorHAnsi" w:hAnsiTheme="minorHAnsi"/>
          <w:b w:val="0"/>
          <w:color w:val="auto"/>
          <w:sz w:val="22"/>
          <w:szCs w:val="22"/>
        </w:rPr>
        <w:t xml:space="preserve"> link</w:t>
      </w:r>
      <w:r w:rsidR="005564AC">
        <w:rPr>
          <w:rStyle w:val="Heading2Char"/>
          <w:rFonts w:asciiTheme="minorHAnsi" w:hAnsiTheme="minorHAnsi"/>
          <w:b w:val="0"/>
          <w:color w:val="auto"/>
          <w:sz w:val="22"/>
          <w:szCs w:val="22"/>
        </w:rPr>
        <w:t>ed</w:t>
      </w:r>
      <w:r>
        <w:rPr>
          <w:rStyle w:val="Heading2Char"/>
          <w:rFonts w:asciiTheme="minorHAnsi" w:hAnsiTheme="minorHAnsi"/>
          <w:b w:val="0"/>
          <w:color w:val="auto"/>
          <w:sz w:val="22"/>
          <w:szCs w:val="22"/>
        </w:rPr>
        <w:t xml:space="preserve"> server</w:t>
      </w:r>
      <w:r w:rsidR="005564AC">
        <w:rPr>
          <w:rStyle w:val="Heading2Char"/>
          <w:rFonts w:asciiTheme="minorHAnsi" w:hAnsiTheme="minorHAnsi"/>
          <w:b w:val="0"/>
          <w:color w:val="auto"/>
          <w:sz w:val="22"/>
          <w:szCs w:val="22"/>
        </w:rPr>
        <w:t>.</w:t>
      </w:r>
      <w:r>
        <w:rPr>
          <w:rStyle w:val="Heading2Char"/>
          <w:rFonts w:asciiTheme="minorHAnsi" w:hAnsiTheme="minorHAnsi"/>
          <w:b w:val="0"/>
          <w:color w:val="auto"/>
          <w:sz w:val="22"/>
          <w:szCs w:val="22"/>
        </w:rPr>
        <w:t xml:space="preserve"> </w:t>
      </w:r>
      <w:r w:rsidR="005564AC">
        <w:rPr>
          <w:rStyle w:val="Heading2Char"/>
          <w:rFonts w:asciiTheme="minorHAnsi" w:hAnsiTheme="minorHAnsi"/>
          <w:b w:val="0"/>
          <w:color w:val="auto"/>
          <w:sz w:val="22"/>
          <w:szCs w:val="22"/>
        </w:rPr>
        <w:t xml:space="preserve">The exports are handled by </w:t>
      </w:r>
      <w:r w:rsidR="0001496D">
        <w:rPr>
          <w:rStyle w:val="Heading2Char"/>
          <w:rFonts w:asciiTheme="minorHAnsi" w:hAnsiTheme="minorHAnsi"/>
          <w:b w:val="0"/>
          <w:color w:val="auto"/>
          <w:sz w:val="22"/>
          <w:szCs w:val="22"/>
        </w:rPr>
        <w:t>Web Services</w:t>
      </w:r>
      <w:r w:rsidR="005564AC">
        <w:rPr>
          <w:rStyle w:val="Heading2Char"/>
          <w:rFonts w:asciiTheme="minorHAnsi" w:hAnsiTheme="minorHAnsi"/>
          <w:b w:val="0"/>
          <w:color w:val="auto"/>
          <w:sz w:val="22"/>
          <w:szCs w:val="22"/>
        </w:rPr>
        <w:t>.</w:t>
      </w:r>
      <w:r w:rsidR="000D64F7">
        <w:rPr>
          <w:rStyle w:val="Heading2Char"/>
          <w:rFonts w:asciiTheme="minorHAnsi" w:hAnsiTheme="minorHAnsi"/>
          <w:b w:val="0"/>
          <w:color w:val="auto"/>
          <w:sz w:val="22"/>
          <w:szCs w:val="22"/>
        </w:rPr>
        <w:t xml:space="preserve"> </w:t>
      </w:r>
    </w:p>
    <w:p w:rsidR="006C55CE" w:rsidRDefault="006C55CE" w:rsidP="00D1645C">
      <w:pPr>
        <w:pStyle w:val="Heading3"/>
        <w:rPr>
          <w:rStyle w:val="Heading2Char"/>
          <w:rFonts w:asciiTheme="minorHAnsi" w:hAnsiTheme="minorHAnsi"/>
          <w:color w:val="auto"/>
          <w:sz w:val="22"/>
          <w:szCs w:val="22"/>
        </w:rPr>
      </w:pPr>
      <w:r>
        <w:rPr>
          <w:rStyle w:val="Heading2Char"/>
          <w:rFonts w:asciiTheme="minorHAnsi" w:hAnsiTheme="minorHAnsi"/>
          <w:b/>
          <w:color w:val="auto"/>
          <w:sz w:val="22"/>
          <w:szCs w:val="22"/>
        </w:rPr>
        <w:t>Lookups</w:t>
      </w:r>
    </w:p>
    <w:p w:rsidR="00FB031A" w:rsidRDefault="00FB031A">
      <w:pPr>
        <w:rPr>
          <w:rStyle w:val="Heading2Char"/>
          <w:rFonts w:asciiTheme="minorHAnsi" w:hAnsiTheme="minorHAnsi"/>
          <w:b w:val="0"/>
          <w:color w:val="auto"/>
          <w:sz w:val="22"/>
          <w:szCs w:val="22"/>
        </w:rPr>
      </w:pPr>
      <w:r>
        <w:rPr>
          <w:rStyle w:val="Heading2Char"/>
          <w:rFonts w:asciiTheme="minorHAnsi" w:hAnsiTheme="minorHAnsi"/>
          <w:b w:val="0"/>
          <w:color w:val="auto"/>
          <w:sz w:val="22"/>
          <w:szCs w:val="22"/>
        </w:rPr>
        <w:t>Lookups require read access to all the Dynamics SL databases</w:t>
      </w:r>
      <w:r w:rsidR="005564AC">
        <w:rPr>
          <w:rStyle w:val="Heading2Char"/>
          <w:rFonts w:asciiTheme="minorHAnsi" w:hAnsiTheme="minorHAnsi"/>
          <w:b w:val="0"/>
          <w:color w:val="auto"/>
          <w:sz w:val="22"/>
          <w:szCs w:val="22"/>
        </w:rPr>
        <w:t>, i</w:t>
      </w:r>
      <w:r>
        <w:rPr>
          <w:rStyle w:val="Heading2Char"/>
          <w:rFonts w:asciiTheme="minorHAnsi" w:hAnsiTheme="minorHAnsi"/>
          <w:b w:val="0"/>
          <w:color w:val="auto"/>
          <w:sz w:val="22"/>
          <w:szCs w:val="22"/>
        </w:rPr>
        <w:t>nclud</w:t>
      </w:r>
      <w:r w:rsidR="005564AC">
        <w:rPr>
          <w:rStyle w:val="Heading2Char"/>
          <w:rFonts w:asciiTheme="minorHAnsi" w:hAnsiTheme="minorHAnsi"/>
          <w:b w:val="0"/>
          <w:color w:val="auto"/>
          <w:sz w:val="22"/>
          <w:szCs w:val="22"/>
        </w:rPr>
        <w:t>ing</w:t>
      </w:r>
      <w:r>
        <w:rPr>
          <w:rStyle w:val="Heading2Char"/>
          <w:rFonts w:asciiTheme="minorHAnsi" w:hAnsiTheme="minorHAnsi"/>
          <w:b w:val="0"/>
          <w:color w:val="auto"/>
          <w:sz w:val="22"/>
          <w:szCs w:val="22"/>
        </w:rPr>
        <w:t xml:space="preserve"> all compan</w:t>
      </w:r>
      <w:r w:rsidR="005564AC">
        <w:rPr>
          <w:rStyle w:val="Heading2Char"/>
          <w:rFonts w:asciiTheme="minorHAnsi" w:hAnsiTheme="minorHAnsi"/>
          <w:b w:val="0"/>
          <w:color w:val="auto"/>
          <w:sz w:val="22"/>
          <w:szCs w:val="22"/>
        </w:rPr>
        <w:t>ies</w:t>
      </w:r>
      <w:r>
        <w:rPr>
          <w:rStyle w:val="Heading2Char"/>
          <w:rFonts w:asciiTheme="minorHAnsi" w:hAnsiTheme="minorHAnsi"/>
          <w:b w:val="0"/>
          <w:color w:val="auto"/>
          <w:sz w:val="22"/>
          <w:szCs w:val="22"/>
        </w:rPr>
        <w:t xml:space="preserve"> that will be integrate</w:t>
      </w:r>
      <w:r w:rsidR="005564AC">
        <w:rPr>
          <w:rStyle w:val="Heading2Char"/>
          <w:rFonts w:asciiTheme="minorHAnsi" w:hAnsiTheme="minorHAnsi"/>
          <w:b w:val="0"/>
          <w:color w:val="auto"/>
          <w:sz w:val="22"/>
          <w:szCs w:val="22"/>
        </w:rPr>
        <w:t>d</w:t>
      </w:r>
      <w:r>
        <w:rPr>
          <w:rStyle w:val="Heading2Char"/>
          <w:rFonts w:asciiTheme="minorHAnsi" w:hAnsiTheme="minorHAnsi"/>
          <w:b w:val="0"/>
          <w:color w:val="auto"/>
          <w:sz w:val="22"/>
          <w:szCs w:val="22"/>
        </w:rPr>
        <w:t xml:space="preserve">. This access is required </w:t>
      </w:r>
      <w:r w:rsidR="000D64F7">
        <w:rPr>
          <w:rStyle w:val="Heading2Char"/>
          <w:rFonts w:asciiTheme="minorHAnsi" w:hAnsiTheme="minorHAnsi"/>
          <w:b w:val="0"/>
          <w:color w:val="auto"/>
          <w:sz w:val="22"/>
          <w:szCs w:val="22"/>
        </w:rPr>
        <w:t xml:space="preserve">for </w:t>
      </w:r>
      <w:r>
        <w:rPr>
          <w:rStyle w:val="Heading2Char"/>
          <w:rFonts w:asciiTheme="minorHAnsi" w:hAnsiTheme="minorHAnsi"/>
          <w:b w:val="0"/>
          <w:color w:val="auto"/>
          <w:sz w:val="22"/>
          <w:szCs w:val="22"/>
        </w:rPr>
        <w:t xml:space="preserve">the </w:t>
      </w:r>
      <w:r w:rsidR="000D64F7">
        <w:rPr>
          <w:rStyle w:val="Heading2Char"/>
          <w:rFonts w:asciiTheme="minorHAnsi" w:hAnsiTheme="minorHAnsi"/>
          <w:b w:val="0"/>
          <w:color w:val="auto"/>
          <w:sz w:val="22"/>
          <w:szCs w:val="22"/>
        </w:rPr>
        <w:t xml:space="preserve">MetaViewer Profile Builder workstation, the MetaViewer administration workstation, </w:t>
      </w:r>
      <w:r>
        <w:rPr>
          <w:rStyle w:val="Heading2Char"/>
          <w:rFonts w:asciiTheme="minorHAnsi" w:hAnsiTheme="minorHAnsi"/>
          <w:b w:val="0"/>
          <w:color w:val="auto"/>
          <w:sz w:val="22"/>
          <w:szCs w:val="22"/>
        </w:rPr>
        <w:t>MetaViewer services and MetaViewer web application.</w:t>
      </w:r>
      <w:r w:rsidR="000D64F7">
        <w:rPr>
          <w:rStyle w:val="Heading2Char"/>
          <w:rFonts w:asciiTheme="minorHAnsi" w:hAnsiTheme="minorHAnsi"/>
          <w:b w:val="0"/>
          <w:color w:val="auto"/>
          <w:sz w:val="22"/>
          <w:szCs w:val="22"/>
        </w:rPr>
        <w:t xml:space="preserve"> Metafile recommends this be configured using an Active Directory group (MetaViewer Power Users Group</w:t>
      </w:r>
      <w:r w:rsidR="008D4E2C">
        <w:rPr>
          <w:rStyle w:val="Heading2Char"/>
          <w:rFonts w:asciiTheme="minorHAnsi" w:hAnsiTheme="minorHAnsi"/>
          <w:b w:val="0"/>
          <w:color w:val="auto"/>
          <w:sz w:val="22"/>
          <w:szCs w:val="22"/>
        </w:rPr>
        <w:t xml:space="preserve"> and MetaViewer Administrators Group</w:t>
      </w:r>
      <w:r w:rsidR="000D64F7">
        <w:rPr>
          <w:rStyle w:val="Heading2Char"/>
          <w:rFonts w:asciiTheme="minorHAnsi" w:hAnsiTheme="minorHAnsi"/>
          <w:b w:val="0"/>
          <w:color w:val="auto"/>
          <w:sz w:val="22"/>
          <w:szCs w:val="22"/>
        </w:rPr>
        <w:t>). If there are specific concerns, other options are available.</w:t>
      </w:r>
      <w:r>
        <w:rPr>
          <w:rStyle w:val="Heading2Char"/>
          <w:rFonts w:asciiTheme="minorHAnsi" w:hAnsiTheme="minorHAnsi"/>
          <w:b w:val="0"/>
          <w:color w:val="auto"/>
          <w:sz w:val="22"/>
          <w:szCs w:val="22"/>
        </w:rPr>
        <w:t xml:space="preserve"> </w:t>
      </w:r>
    </w:p>
    <w:p w:rsidR="006C55CE" w:rsidRDefault="006C55CE" w:rsidP="00D1645C">
      <w:pPr>
        <w:pStyle w:val="Heading3"/>
        <w:rPr>
          <w:rStyle w:val="Heading2Char"/>
          <w:rFonts w:asciiTheme="minorHAnsi" w:hAnsiTheme="minorHAnsi"/>
          <w:color w:val="auto"/>
          <w:sz w:val="22"/>
          <w:szCs w:val="22"/>
        </w:rPr>
      </w:pPr>
      <w:r>
        <w:rPr>
          <w:rStyle w:val="Heading2Char"/>
          <w:rFonts w:asciiTheme="minorHAnsi" w:hAnsiTheme="minorHAnsi"/>
          <w:b/>
          <w:color w:val="auto"/>
          <w:sz w:val="22"/>
          <w:szCs w:val="22"/>
        </w:rPr>
        <w:t>Exports</w:t>
      </w:r>
    </w:p>
    <w:p w:rsidR="00FB031A" w:rsidRDefault="005564AC">
      <w:pPr>
        <w:rPr>
          <w:rStyle w:val="Heading2Char"/>
          <w:rFonts w:asciiTheme="minorHAnsi" w:hAnsiTheme="minorHAnsi"/>
          <w:b w:val="0"/>
          <w:color w:val="auto"/>
          <w:sz w:val="22"/>
          <w:szCs w:val="22"/>
        </w:rPr>
      </w:pPr>
      <w:r w:rsidRPr="00D1645C">
        <w:rPr>
          <w:rStyle w:val="Heading2Char"/>
          <w:rFonts w:asciiTheme="minorHAnsi" w:hAnsiTheme="minorHAnsi"/>
          <w:b w:val="0"/>
          <w:color w:val="auto"/>
          <w:sz w:val="22"/>
          <w:szCs w:val="22"/>
        </w:rPr>
        <w:t>Exports</w:t>
      </w:r>
      <w:r w:rsidR="000D64F7" w:rsidRPr="00D1645C">
        <w:rPr>
          <w:rStyle w:val="Heading2Char"/>
          <w:rFonts w:asciiTheme="minorHAnsi" w:hAnsiTheme="minorHAnsi"/>
          <w:b w:val="0"/>
          <w:color w:val="auto"/>
          <w:sz w:val="22"/>
          <w:szCs w:val="22"/>
        </w:rPr>
        <w:t xml:space="preserve"> </w:t>
      </w:r>
      <w:r w:rsidR="006C55CE">
        <w:rPr>
          <w:rStyle w:val="Heading2Char"/>
          <w:rFonts w:asciiTheme="minorHAnsi" w:hAnsiTheme="minorHAnsi"/>
          <w:b w:val="0"/>
          <w:color w:val="auto"/>
          <w:sz w:val="22"/>
          <w:szCs w:val="22"/>
        </w:rPr>
        <w:t xml:space="preserve">are </w:t>
      </w:r>
      <w:r w:rsidRPr="00D1645C">
        <w:rPr>
          <w:rStyle w:val="Heading2Char"/>
          <w:rFonts w:asciiTheme="minorHAnsi" w:hAnsiTheme="minorHAnsi"/>
          <w:b w:val="0"/>
          <w:color w:val="auto"/>
          <w:sz w:val="22"/>
          <w:szCs w:val="22"/>
        </w:rPr>
        <w:t xml:space="preserve">handled by </w:t>
      </w:r>
      <w:r w:rsidR="0001496D">
        <w:rPr>
          <w:rStyle w:val="Heading2Char"/>
          <w:rFonts w:asciiTheme="minorHAnsi" w:hAnsiTheme="minorHAnsi"/>
          <w:b w:val="0"/>
          <w:color w:val="auto"/>
          <w:sz w:val="22"/>
          <w:szCs w:val="22"/>
        </w:rPr>
        <w:t>Web Services</w:t>
      </w:r>
      <w:r w:rsidR="006C55CE">
        <w:rPr>
          <w:rStyle w:val="Heading2Char"/>
          <w:rFonts w:asciiTheme="minorHAnsi" w:hAnsiTheme="minorHAnsi"/>
          <w:b w:val="0"/>
          <w:color w:val="auto"/>
          <w:sz w:val="22"/>
          <w:szCs w:val="22"/>
        </w:rPr>
        <w:t xml:space="preserve"> and </w:t>
      </w:r>
      <w:r w:rsidR="00FB031A" w:rsidRPr="00D1645C">
        <w:rPr>
          <w:rStyle w:val="Heading2Char"/>
          <w:rFonts w:asciiTheme="minorHAnsi" w:hAnsiTheme="minorHAnsi"/>
          <w:b w:val="0"/>
          <w:color w:val="auto"/>
          <w:sz w:val="22"/>
          <w:szCs w:val="22"/>
        </w:rPr>
        <w:t xml:space="preserve">require read, write, and execute access to the Dynamics </w:t>
      </w:r>
      <w:r w:rsidRPr="00D1645C">
        <w:rPr>
          <w:rStyle w:val="Heading2Char"/>
          <w:rFonts w:asciiTheme="minorHAnsi" w:hAnsiTheme="minorHAnsi"/>
          <w:b w:val="0"/>
          <w:color w:val="auto"/>
          <w:sz w:val="22"/>
          <w:szCs w:val="22"/>
        </w:rPr>
        <w:t xml:space="preserve">SL </w:t>
      </w:r>
      <w:r w:rsidR="00FB031A" w:rsidRPr="00D1645C">
        <w:rPr>
          <w:rStyle w:val="Heading2Char"/>
          <w:rFonts w:asciiTheme="minorHAnsi" w:hAnsiTheme="minorHAnsi"/>
          <w:b w:val="0"/>
          <w:color w:val="auto"/>
          <w:sz w:val="22"/>
          <w:szCs w:val="22"/>
        </w:rPr>
        <w:t>company databases.</w:t>
      </w:r>
      <w:r w:rsidR="00E15EF7" w:rsidRPr="006C55CE">
        <w:rPr>
          <w:rStyle w:val="Heading2Char"/>
          <w:rFonts w:asciiTheme="minorHAnsi" w:hAnsiTheme="minorHAnsi"/>
          <w:b w:val="0"/>
          <w:color w:val="auto"/>
          <w:sz w:val="22"/>
          <w:szCs w:val="22"/>
        </w:rPr>
        <w:t xml:space="preserve"> </w:t>
      </w:r>
      <w:r w:rsidR="006C55CE">
        <w:rPr>
          <w:rStyle w:val="Heading2Char"/>
          <w:rFonts w:asciiTheme="minorHAnsi" w:hAnsiTheme="minorHAnsi"/>
          <w:b w:val="0"/>
          <w:color w:val="auto"/>
          <w:sz w:val="22"/>
          <w:szCs w:val="22"/>
        </w:rPr>
        <w:t>In the MetaViewer deployment, o</w:t>
      </w:r>
      <w:r w:rsidR="008D4E2C" w:rsidRPr="006C55CE">
        <w:rPr>
          <w:rStyle w:val="Heading2Char"/>
          <w:rFonts w:asciiTheme="minorHAnsi" w:hAnsiTheme="minorHAnsi"/>
          <w:b w:val="0"/>
          <w:color w:val="auto"/>
          <w:sz w:val="22"/>
          <w:szCs w:val="22"/>
        </w:rPr>
        <w:t xml:space="preserve">nly </w:t>
      </w:r>
      <w:r w:rsidR="0001496D">
        <w:rPr>
          <w:rStyle w:val="Heading2Char"/>
          <w:rFonts w:asciiTheme="minorHAnsi" w:hAnsiTheme="minorHAnsi"/>
          <w:b w:val="0"/>
          <w:color w:val="auto"/>
          <w:sz w:val="22"/>
          <w:szCs w:val="22"/>
        </w:rPr>
        <w:t>Web Services</w:t>
      </w:r>
      <w:r w:rsidR="008D4E2C" w:rsidRPr="006C55CE">
        <w:rPr>
          <w:rStyle w:val="Heading2Char"/>
          <w:rFonts w:asciiTheme="minorHAnsi" w:hAnsiTheme="minorHAnsi"/>
          <w:b w:val="0"/>
          <w:color w:val="auto"/>
          <w:sz w:val="22"/>
          <w:szCs w:val="22"/>
        </w:rPr>
        <w:t xml:space="preserve"> will require this access. </w:t>
      </w:r>
      <w:r w:rsidR="00E15EF7" w:rsidRPr="006C55CE">
        <w:rPr>
          <w:rStyle w:val="Heading2Char"/>
          <w:rFonts w:asciiTheme="minorHAnsi" w:hAnsiTheme="minorHAnsi"/>
          <w:b w:val="0"/>
          <w:color w:val="auto"/>
          <w:sz w:val="22"/>
          <w:szCs w:val="22"/>
        </w:rPr>
        <w:t xml:space="preserve">It can be </w:t>
      </w:r>
      <w:r w:rsidR="00752108">
        <w:rPr>
          <w:rStyle w:val="Heading2Char"/>
          <w:rFonts w:asciiTheme="minorHAnsi" w:hAnsiTheme="minorHAnsi"/>
          <w:b w:val="0"/>
          <w:color w:val="auto"/>
          <w:sz w:val="22"/>
          <w:szCs w:val="22"/>
        </w:rPr>
        <w:t>managed</w:t>
      </w:r>
      <w:r w:rsidR="00752108" w:rsidRPr="006C55CE">
        <w:rPr>
          <w:rStyle w:val="Heading2Char"/>
          <w:rFonts w:asciiTheme="minorHAnsi" w:hAnsiTheme="minorHAnsi"/>
          <w:b w:val="0"/>
          <w:color w:val="auto"/>
          <w:sz w:val="22"/>
          <w:szCs w:val="22"/>
        </w:rPr>
        <w:t xml:space="preserve"> </w:t>
      </w:r>
      <w:r w:rsidR="00E15EF7" w:rsidRPr="006C55CE">
        <w:rPr>
          <w:rStyle w:val="Heading2Char"/>
          <w:rFonts w:asciiTheme="minorHAnsi" w:hAnsiTheme="minorHAnsi"/>
          <w:b w:val="0"/>
          <w:color w:val="auto"/>
          <w:sz w:val="22"/>
          <w:szCs w:val="22"/>
        </w:rPr>
        <w:t xml:space="preserve">by active directory </w:t>
      </w:r>
      <w:r w:rsidR="008D4E2C" w:rsidRPr="006C55CE">
        <w:rPr>
          <w:rStyle w:val="Heading2Char"/>
          <w:rFonts w:asciiTheme="minorHAnsi" w:hAnsiTheme="minorHAnsi"/>
          <w:b w:val="0"/>
          <w:color w:val="auto"/>
          <w:sz w:val="22"/>
          <w:szCs w:val="22"/>
        </w:rPr>
        <w:t xml:space="preserve">group, active directory </w:t>
      </w:r>
      <w:r w:rsidR="00E15EF7" w:rsidRPr="006C55CE">
        <w:rPr>
          <w:rStyle w:val="Heading2Char"/>
          <w:rFonts w:asciiTheme="minorHAnsi" w:hAnsiTheme="minorHAnsi"/>
          <w:b w:val="0"/>
          <w:color w:val="auto"/>
          <w:sz w:val="22"/>
          <w:szCs w:val="22"/>
        </w:rPr>
        <w:t>user</w:t>
      </w:r>
      <w:r w:rsidR="008D4E2C" w:rsidRPr="006C55CE">
        <w:rPr>
          <w:rStyle w:val="Heading2Char"/>
          <w:rFonts w:asciiTheme="minorHAnsi" w:hAnsiTheme="minorHAnsi"/>
          <w:b w:val="0"/>
          <w:color w:val="auto"/>
          <w:sz w:val="22"/>
          <w:szCs w:val="22"/>
        </w:rPr>
        <w:t>,</w:t>
      </w:r>
      <w:r w:rsidR="00E15EF7" w:rsidRPr="006C55CE">
        <w:rPr>
          <w:rStyle w:val="Heading2Char"/>
          <w:rFonts w:asciiTheme="minorHAnsi" w:hAnsiTheme="minorHAnsi"/>
          <w:b w:val="0"/>
          <w:color w:val="auto"/>
          <w:sz w:val="22"/>
          <w:szCs w:val="22"/>
        </w:rPr>
        <w:t xml:space="preserve"> or by a dedicated SQL user.</w:t>
      </w:r>
    </w:p>
    <w:p w:rsidR="00A5711E" w:rsidRPr="00B43B47" w:rsidRDefault="00B43B47">
      <w:pPr>
        <w:rPr>
          <w:rStyle w:val="Heading2Char"/>
          <w:rFonts w:asciiTheme="minorHAnsi" w:hAnsiTheme="minorHAnsi"/>
          <w:b w:val="0"/>
          <w:color w:val="auto"/>
          <w:sz w:val="22"/>
          <w:szCs w:val="22"/>
        </w:rPr>
      </w:pPr>
      <w:r w:rsidRPr="00B43B47">
        <w:rPr>
          <w:rStyle w:val="Heading2Char"/>
          <w:rFonts w:asciiTheme="minorHAnsi" w:hAnsiTheme="minorHAnsi"/>
          <w:b w:val="0"/>
          <w:color w:val="auto"/>
          <w:sz w:val="22"/>
          <w:szCs w:val="22"/>
        </w:rPr>
        <w:t xml:space="preserve">The specific tables within </w:t>
      </w:r>
      <w:r w:rsidR="00AA473D">
        <w:rPr>
          <w:rStyle w:val="Heading2Char"/>
          <w:rFonts w:asciiTheme="minorHAnsi" w:hAnsiTheme="minorHAnsi"/>
          <w:b w:val="0"/>
          <w:color w:val="auto"/>
          <w:sz w:val="22"/>
          <w:szCs w:val="22"/>
        </w:rPr>
        <w:t>Dynamics SL</w:t>
      </w:r>
      <w:r w:rsidRPr="00B43B47">
        <w:rPr>
          <w:rStyle w:val="Heading2Char"/>
          <w:rFonts w:asciiTheme="minorHAnsi" w:hAnsiTheme="minorHAnsi"/>
          <w:b w:val="0"/>
          <w:color w:val="auto"/>
          <w:sz w:val="22"/>
          <w:szCs w:val="22"/>
        </w:rPr>
        <w:t xml:space="preserve"> </w:t>
      </w:r>
      <w:r w:rsidR="00035016">
        <w:rPr>
          <w:rStyle w:val="Heading2Char"/>
          <w:rFonts w:asciiTheme="minorHAnsi" w:hAnsiTheme="minorHAnsi"/>
          <w:b w:val="0"/>
          <w:color w:val="auto"/>
          <w:sz w:val="22"/>
          <w:szCs w:val="22"/>
        </w:rPr>
        <w:t xml:space="preserve">that require </w:t>
      </w:r>
      <w:r w:rsidRPr="00B43B47">
        <w:rPr>
          <w:rStyle w:val="Heading2Char"/>
          <w:rFonts w:asciiTheme="minorHAnsi" w:hAnsiTheme="minorHAnsi"/>
          <w:b w:val="0"/>
          <w:color w:val="auto"/>
          <w:sz w:val="22"/>
          <w:szCs w:val="22"/>
        </w:rPr>
        <w:t>write permissions</w:t>
      </w:r>
      <w:r w:rsidR="008D4E2C">
        <w:rPr>
          <w:rStyle w:val="Heading2Char"/>
          <w:rFonts w:asciiTheme="minorHAnsi" w:hAnsiTheme="minorHAnsi"/>
          <w:b w:val="0"/>
          <w:color w:val="auto"/>
          <w:sz w:val="22"/>
          <w:szCs w:val="22"/>
        </w:rPr>
        <w:t xml:space="preserve"> for </w:t>
      </w:r>
      <w:r w:rsidR="006D6C2B">
        <w:rPr>
          <w:rStyle w:val="Heading2Char"/>
          <w:rFonts w:asciiTheme="minorHAnsi" w:hAnsiTheme="minorHAnsi"/>
          <w:b w:val="0"/>
          <w:color w:val="auto"/>
          <w:sz w:val="22"/>
          <w:szCs w:val="22"/>
        </w:rPr>
        <w:t xml:space="preserve">the current </w:t>
      </w:r>
      <w:r w:rsidR="008D4E2C">
        <w:rPr>
          <w:rStyle w:val="Heading2Char"/>
          <w:rFonts w:asciiTheme="minorHAnsi" w:hAnsiTheme="minorHAnsi"/>
          <w:b w:val="0"/>
          <w:color w:val="auto"/>
          <w:sz w:val="22"/>
          <w:szCs w:val="22"/>
        </w:rPr>
        <w:t>MetaViewer implementation</w:t>
      </w:r>
      <w:r w:rsidRPr="00B43B47">
        <w:rPr>
          <w:rStyle w:val="Heading2Char"/>
          <w:rFonts w:asciiTheme="minorHAnsi" w:hAnsiTheme="minorHAnsi"/>
          <w:b w:val="0"/>
          <w:color w:val="auto"/>
          <w:sz w:val="22"/>
          <w:szCs w:val="22"/>
        </w:rPr>
        <w:t xml:space="preserve"> are:</w:t>
      </w:r>
    </w:p>
    <w:p w:rsidR="00957096" w:rsidRPr="006C55CE" w:rsidRDefault="00957096" w:rsidP="00D1645C">
      <w:pPr>
        <w:pStyle w:val="ListParagraph"/>
        <w:numPr>
          <w:ilvl w:val="0"/>
          <w:numId w:val="22"/>
        </w:numPr>
        <w:rPr>
          <w:rStyle w:val="Heading2Char"/>
          <w:rFonts w:asciiTheme="minorHAnsi" w:hAnsiTheme="minorHAnsi"/>
          <w:b w:val="0"/>
          <w:color w:val="auto"/>
          <w:sz w:val="22"/>
          <w:szCs w:val="22"/>
        </w:rPr>
      </w:pPr>
      <w:r w:rsidRPr="006C55CE">
        <w:rPr>
          <w:rStyle w:val="Heading2Char"/>
          <w:rFonts w:asciiTheme="minorHAnsi" w:hAnsiTheme="minorHAnsi"/>
          <w:b w:val="0"/>
          <w:color w:val="auto"/>
          <w:sz w:val="22"/>
          <w:szCs w:val="22"/>
        </w:rPr>
        <w:t>APDoc</w:t>
      </w:r>
    </w:p>
    <w:p w:rsidR="00957096" w:rsidRPr="006C55CE" w:rsidRDefault="00957096" w:rsidP="00D1645C">
      <w:pPr>
        <w:pStyle w:val="ListParagraph"/>
        <w:numPr>
          <w:ilvl w:val="0"/>
          <w:numId w:val="22"/>
        </w:numPr>
        <w:rPr>
          <w:rStyle w:val="Heading2Char"/>
          <w:rFonts w:asciiTheme="minorHAnsi" w:hAnsiTheme="minorHAnsi"/>
          <w:b w:val="0"/>
          <w:color w:val="auto"/>
          <w:sz w:val="22"/>
          <w:szCs w:val="22"/>
        </w:rPr>
      </w:pPr>
      <w:r w:rsidRPr="006C55CE">
        <w:rPr>
          <w:rStyle w:val="Heading2Char"/>
          <w:rFonts w:asciiTheme="minorHAnsi" w:hAnsiTheme="minorHAnsi"/>
          <w:b w:val="0"/>
          <w:color w:val="auto"/>
          <w:sz w:val="22"/>
          <w:szCs w:val="22"/>
        </w:rPr>
        <w:t>APTran</w:t>
      </w:r>
    </w:p>
    <w:p w:rsidR="00957096" w:rsidRPr="006C55CE" w:rsidRDefault="00957096" w:rsidP="00D1645C">
      <w:pPr>
        <w:pStyle w:val="ListParagraph"/>
        <w:numPr>
          <w:ilvl w:val="0"/>
          <w:numId w:val="22"/>
        </w:numPr>
        <w:rPr>
          <w:rStyle w:val="Heading2Char"/>
          <w:rFonts w:asciiTheme="minorHAnsi" w:hAnsiTheme="minorHAnsi"/>
          <w:b w:val="0"/>
          <w:color w:val="auto"/>
          <w:sz w:val="22"/>
          <w:szCs w:val="22"/>
        </w:rPr>
      </w:pPr>
      <w:r w:rsidRPr="006C55CE">
        <w:rPr>
          <w:rStyle w:val="Heading2Char"/>
          <w:rFonts w:asciiTheme="minorHAnsi" w:hAnsiTheme="minorHAnsi"/>
          <w:b w:val="0"/>
          <w:color w:val="auto"/>
          <w:sz w:val="22"/>
          <w:szCs w:val="22"/>
        </w:rPr>
        <w:t>Batch</w:t>
      </w:r>
    </w:p>
    <w:p w:rsidR="00AB32EA" w:rsidRDefault="000056A3">
      <w:pPr>
        <w:rPr>
          <w:rStyle w:val="Heading2Char"/>
          <w:sz w:val="22"/>
          <w:szCs w:val="22"/>
        </w:rPr>
      </w:pPr>
      <w:r>
        <w:rPr>
          <w:rStyle w:val="Heading2Char"/>
          <w:rFonts w:asciiTheme="minorHAnsi" w:hAnsiTheme="minorHAnsi"/>
          <w:b w:val="0"/>
          <w:color w:val="auto"/>
          <w:sz w:val="22"/>
          <w:szCs w:val="22"/>
        </w:rPr>
        <w:t xml:space="preserve">As </w:t>
      </w:r>
      <w:r w:rsidR="00752108">
        <w:rPr>
          <w:rStyle w:val="Heading2Char"/>
          <w:rFonts w:asciiTheme="minorHAnsi" w:hAnsiTheme="minorHAnsi"/>
          <w:b w:val="0"/>
          <w:color w:val="auto"/>
          <w:sz w:val="22"/>
          <w:szCs w:val="22"/>
        </w:rPr>
        <w:t xml:space="preserve">outlined </w:t>
      </w:r>
      <w:r>
        <w:rPr>
          <w:rStyle w:val="Heading2Char"/>
          <w:rFonts w:asciiTheme="minorHAnsi" w:hAnsiTheme="minorHAnsi"/>
          <w:b w:val="0"/>
          <w:color w:val="auto"/>
          <w:sz w:val="22"/>
          <w:szCs w:val="22"/>
        </w:rPr>
        <w:t xml:space="preserve">in the previous section, the </w:t>
      </w:r>
      <w:r w:rsidR="0001496D">
        <w:rPr>
          <w:rStyle w:val="Heading2Char"/>
          <w:rFonts w:asciiTheme="minorHAnsi" w:hAnsiTheme="minorHAnsi"/>
          <w:b w:val="0"/>
          <w:color w:val="auto"/>
          <w:sz w:val="22"/>
          <w:szCs w:val="22"/>
        </w:rPr>
        <w:t>Web Services</w:t>
      </w:r>
      <w:r>
        <w:rPr>
          <w:rStyle w:val="Heading2Char"/>
          <w:rFonts w:asciiTheme="minorHAnsi" w:hAnsiTheme="minorHAnsi"/>
          <w:b w:val="0"/>
          <w:color w:val="auto"/>
          <w:sz w:val="22"/>
          <w:szCs w:val="22"/>
        </w:rPr>
        <w:t xml:space="preserve"> </w:t>
      </w:r>
      <w:r w:rsidR="006D6C2B">
        <w:rPr>
          <w:rStyle w:val="Heading2Char"/>
          <w:rFonts w:asciiTheme="minorHAnsi" w:hAnsiTheme="minorHAnsi"/>
          <w:b w:val="0"/>
          <w:color w:val="auto"/>
          <w:sz w:val="22"/>
          <w:szCs w:val="22"/>
        </w:rPr>
        <w:t>configuration</w:t>
      </w:r>
      <w:r w:rsidR="00962077">
        <w:rPr>
          <w:rStyle w:val="Heading2Char"/>
          <w:rFonts w:asciiTheme="minorHAnsi" w:hAnsiTheme="minorHAnsi"/>
          <w:b w:val="0"/>
          <w:color w:val="auto"/>
          <w:sz w:val="22"/>
          <w:szCs w:val="22"/>
        </w:rPr>
        <w:t xml:space="preserve"> </w:t>
      </w:r>
      <w:r>
        <w:rPr>
          <w:rStyle w:val="Heading2Char"/>
          <w:rFonts w:asciiTheme="minorHAnsi" w:hAnsiTheme="minorHAnsi"/>
          <w:b w:val="0"/>
          <w:color w:val="auto"/>
          <w:sz w:val="22"/>
          <w:szCs w:val="22"/>
        </w:rPr>
        <w:t xml:space="preserve">requires installation of </w:t>
      </w:r>
      <w:r w:rsidR="00752108">
        <w:rPr>
          <w:rStyle w:val="Heading2Char"/>
          <w:rFonts w:asciiTheme="minorHAnsi" w:hAnsiTheme="minorHAnsi"/>
          <w:b w:val="0"/>
          <w:color w:val="auto"/>
          <w:sz w:val="22"/>
          <w:szCs w:val="22"/>
        </w:rPr>
        <w:t>new Web Service</w:t>
      </w:r>
      <w:r w:rsidR="006D6C2B">
        <w:rPr>
          <w:rStyle w:val="Heading2Char"/>
          <w:rFonts w:asciiTheme="minorHAnsi" w:hAnsiTheme="minorHAnsi"/>
          <w:b w:val="0"/>
          <w:color w:val="auto"/>
          <w:sz w:val="22"/>
          <w:szCs w:val="22"/>
        </w:rPr>
        <w:t>s</w:t>
      </w:r>
      <w:r>
        <w:rPr>
          <w:rStyle w:val="Heading2Char"/>
          <w:rFonts w:asciiTheme="minorHAnsi" w:hAnsiTheme="minorHAnsi"/>
          <w:b w:val="0"/>
          <w:color w:val="auto"/>
          <w:sz w:val="22"/>
          <w:szCs w:val="22"/>
        </w:rPr>
        <w:t xml:space="preserve">-dedicated objects (tables, functions and stored procedures) in the Dynamics SL company databases. </w:t>
      </w:r>
      <w:r w:rsidR="0001496D">
        <w:rPr>
          <w:rStyle w:val="Heading2Char"/>
          <w:rFonts w:asciiTheme="minorHAnsi" w:hAnsiTheme="minorHAnsi"/>
          <w:b w:val="0"/>
          <w:color w:val="auto"/>
          <w:sz w:val="22"/>
          <w:szCs w:val="22"/>
        </w:rPr>
        <w:t>Web Services</w:t>
      </w:r>
      <w:r w:rsidR="00B43B47" w:rsidRPr="00B43B47">
        <w:rPr>
          <w:rStyle w:val="Heading2Char"/>
          <w:rFonts w:asciiTheme="minorHAnsi" w:hAnsiTheme="minorHAnsi"/>
          <w:b w:val="0"/>
          <w:color w:val="auto"/>
          <w:sz w:val="22"/>
          <w:szCs w:val="22"/>
        </w:rPr>
        <w:t xml:space="preserve"> </w:t>
      </w:r>
      <w:r w:rsidR="008D4E2C">
        <w:rPr>
          <w:rStyle w:val="Heading2Char"/>
          <w:rFonts w:asciiTheme="minorHAnsi" w:hAnsiTheme="minorHAnsi"/>
          <w:b w:val="0"/>
          <w:color w:val="auto"/>
          <w:sz w:val="22"/>
          <w:szCs w:val="22"/>
        </w:rPr>
        <w:t xml:space="preserve">require </w:t>
      </w:r>
      <w:r>
        <w:rPr>
          <w:rStyle w:val="Heading2Char"/>
          <w:rFonts w:asciiTheme="minorHAnsi" w:hAnsiTheme="minorHAnsi"/>
          <w:b w:val="0"/>
          <w:color w:val="auto"/>
          <w:sz w:val="22"/>
          <w:szCs w:val="22"/>
        </w:rPr>
        <w:t xml:space="preserve">read, write, and execute </w:t>
      </w:r>
      <w:r w:rsidR="00B43B47" w:rsidRPr="00B43B47">
        <w:rPr>
          <w:rStyle w:val="Heading2Char"/>
          <w:rFonts w:asciiTheme="minorHAnsi" w:hAnsiTheme="minorHAnsi"/>
          <w:b w:val="0"/>
          <w:color w:val="auto"/>
          <w:sz w:val="22"/>
          <w:szCs w:val="22"/>
        </w:rPr>
        <w:t xml:space="preserve">permissions </w:t>
      </w:r>
      <w:r w:rsidR="008D4E2C">
        <w:rPr>
          <w:rStyle w:val="Heading2Char"/>
          <w:rFonts w:asciiTheme="minorHAnsi" w:hAnsiTheme="minorHAnsi"/>
          <w:b w:val="0"/>
          <w:color w:val="auto"/>
          <w:sz w:val="22"/>
          <w:szCs w:val="22"/>
        </w:rPr>
        <w:t xml:space="preserve">for </w:t>
      </w:r>
      <w:r>
        <w:rPr>
          <w:rStyle w:val="Heading2Char"/>
          <w:rFonts w:asciiTheme="minorHAnsi" w:hAnsiTheme="minorHAnsi"/>
          <w:b w:val="0"/>
          <w:color w:val="auto"/>
          <w:sz w:val="22"/>
          <w:szCs w:val="22"/>
        </w:rPr>
        <w:t>these objects</w:t>
      </w:r>
      <w:r w:rsidR="00E15EF7">
        <w:rPr>
          <w:rStyle w:val="Heading2Char"/>
          <w:rFonts w:asciiTheme="minorHAnsi" w:hAnsiTheme="minorHAnsi"/>
          <w:b w:val="0"/>
          <w:color w:val="auto"/>
          <w:sz w:val="22"/>
          <w:szCs w:val="22"/>
        </w:rPr>
        <w:t>.</w:t>
      </w:r>
    </w:p>
    <w:p w:rsidR="00B43B47" w:rsidRPr="00D1645C" w:rsidRDefault="00B43B47" w:rsidP="00D1645C">
      <w:pPr>
        <w:pStyle w:val="Heading2"/>
      </w:pPr>
      <w:r w:rsidRPr="00D1645C">
        <w:t>SQL User</w:t>
      </w:r>
      <w:r w:rsidR="000056A3" w:rsidRPr="00D1645C">
        <w:t>s</w:t>
      </w:r>
    </w:p>
    <w:p w:rsidR="008D4E2C" w:rsidRDefault="008D4E2C">
      <w:r>
        <w:t xml:space="preserve">Metafile recommends 2 </w:t>
      </w:r>
      <w:r w:rsidR="00D71914">
        <w:t xml:space="preserve">new </w:t>
      </w:r>
      <w:r w:rsidR="000056A3">
        <w:t>logins</w:t>
      </w:r>
      <w:r>
        <w:t xml:space="preserve"> be created in the Dynamics SL database</w:t>
      </w:r>
      <w:r w:rsidR="000056A3">
        <w:t>s</w:t>
      </w:r>
      <w:r w:rsidR="003A55D3">
        <w:t>. These logins will be</w:t>
      </w:r>
      <w:r>
        <w:t xml:space="preserve"> dedicated to </w:t>
      </w:r>
      <w:r w:rsidR="000056A3">
        <w:t xml:space="preserve">the </w:t>
      </w:r>
      <w:r>
        <w:t>MetaViewer</w:t>
      </w:r>
      <w:r w:rsidR="000056A3">
        <w:t xml:space="preserve"> integration</w:t>
      </w:r>
      <w:r>
        <w:t xml:space="preserve">, one </w:t>
      </w:r>
      <w:r w:rsidR="000056A3">
        <w:t xml:space="preserve">for </w:t>
      </w:r>
      <w:r>
        <w:t xml:space="preserve">lookups and one </w:t>
      </w:r>
      <w:r w:rsidR="000056A3">
        <w:t xml:space="preserve">for </w:t>
      </w:r>
      <w:r>
        <w:t xml:space="preserve">exports. </w:t>
      </w:r>
    </w:p>
    <w:p w:rsidR="00AB32EA" w:rsidRDefault="008D4E2C">
      <w:r>
        <w:t xml:space="preserve">The lookup </w:t>
      </w:r>
      <w:r w:rsidR="000056A3">
        <w:t>login</w:t>
      </w:r>
      <w:r>
        <w:t xml:space="preserve"> can be an Active Direc</w:t>
      </w:r>
      <w:r w:rsidR="00AB32EA">
        <w:t>tory group</w:t>
      </w:r>
      <w:r>
        <w:t xml:space="preserve">, an Active Directory user, or a SQL Server user. </w:t>
      </w:r>
      <w:r w:rsidR="000056A3">
        <w:t xml:space="preserve">If an Active Directory group is used, named users would be added </w:t>
      </w:r>
      <w:r w:rsidR="00AB32EA">
        <w:t>for all service accounts, the web application pool user, any administrative users, and any Profile Builder users. (This does not include MetaViewer web users.) If an active directory user is used, it would be directly embedded in the linked server as the default credentials. If an SQL user is used, it would be directly embedded in the linked server as the default credentials.</w:t>
      </w:r>
    </w:p>
    <w:p w:rsidR="000056A3" w:rsidRDefault="008D4E2C">
      <w:r>
        <w:t xml:space="preserve">The export </w:t>
      </w:r>
      <w:r w:rsidR="003A55D3">
        <w:t xml:space="preserve">login </w:t>
      </w:r>
      <w:r>
        <w:t>can be an Active Directory group, an Active Directory user, or a</w:t>
      </w:r>
      <w:r w:rsidR="00D71914">
        <w:t>n</w:t>
      </w:r>
      <w:r>
        <w:t xml:space="preserve"> SQL Server user.</w:t>
      </w:r>
      <w:r w:rsidR="000056A3">
        <w:t xml:space="preserve"> </w:t>
      </w:r>
      <w:r w:rsidR="003A55D3">
        <w:t xml:space="preserve">The login will be used by Web Services to access the SQL Objects noted in the previous section. </w:t>
      </w:r>
      <w:r w:rsidR="00752108">
        <w:t xml:space="preserve">The </w:t>
      </w:r>
      <w:r w:rsidR="0001496D">
        <w:t>Web Services</w:t>
      </w:r>
      <w:r w:rsidR="006C55CE">
        <w:t xml:space="preserve"> configuration </w:t>
      </w:r>
      <w:r w:rsidR="000056A3">
        <w:t xml:space="preserve">includes a database connection string that can be </w:t>
      </w:r>
      <w:r w:rsidR="00962077">
        <w:t xml:space="preserve">configured </w:t>
      </w:r>
      <w:r w:rsidR="006C55CE">
        <w:t xml:space="preserve">to use </w:t>
      </w:r>
      <w:r w:rsidR="000056A3">
        <w:t>integrated</w:t>
      </w:r>
      <w:r w:rsidR="006C55CE">
        <w:t xml:space="preserve"> security</w:t>
      </w:r>
      <w:r w:rsidR="000056A3">
        <w:t xml:space="preserve"> or </w:t>
      </w:r>
      <w:r w:rsidR="006C55CE">
        <w:t xml:space="preserve">an </w:t>
      </w:r>
      <w:r w:rsidR="000056A3">
        <w:t>explicit</w:t>
      </w:r>
      <w:r w:rsidR="006C55CE">
        <w:t xml:space="preserve"> user/password.</w:t>
      </w:r>
    </w:p>
    <w:p w:rsidR="00A5711E" w:rsidRPr="00A5711E" w:rsidRDefault="000056A3">
      <w:pPr>
        <w:rPr>
          <w:rStyle w:val="Heading2Char"/>
          <w:b w:val="0"/>
          <w:bCs w:val="0"/>
          <w:color w:val="auto"/>
        </w:rPr>
      </w:pPr>
      <w:r>
        <w:t>As mentioned, both</w:t>
      </w:r>
      <w:r w:rsidR="006631DD">
        <w:t xml:space="preserve"> </w:t>
      </w:r>
      <w:r w:rsidR="003A55D3">
        <w:t xml:space="preserve">logins </w:t>
      </w:r>
      <w:r w:rsidR="006631DD">
        <w:t xml:space="preserve">can be </w:t>
      </w:r>
      <w:r>
        <w:t xml:space="preserve">handled </w:t>
      </w:r>
      <w:r w:rsidR="00962077">
        <w:t xml:space="preserve">via </w:t>
      </w:r>
      <w:r>
        <w:t>Active Directory groups, Active Directory users, or SQL Server users.</w:t>
      </w:r>
      <w:r w:rsidR="00B43B47">
        <w:t xml:space="preserve"> </w:t>
      </w:r>
      <w:r w:rsidR="00AB32EA">
        <w:t xml:space="preserve">There are </w:t>
      </w:r>
      <w:r w:rsidR="003A55D3">
        <w:t xml:space="preserve">additional </w:t>
      </w:r>
      <w:r w:rsidR="00AB32EA">
        <w:t>options not covered here</w:t>
      </w:r>
      <w:r w:rsidR="003A55D3">
        <w:t xml:space="preserve"> if there are additional security requirements</w:t>
      </w:r>
      <w:r w:rsidR="00AB32EA">
        <w:t xml:space="preserve">. Metafile recommends conforming to an organization’s existing security procedures. If there is not an existing precedent, Metafile recommends using Active Directory groups using integrated security to avoid storage of the passwords in clear text and to support </w:t>
      </w:r>
      <w:r w:rsidR="006C55CE">
        <w:t>disabling access from named users</w:t>
      </w:r>
      <w:r w:rsidR="00AB32EA">
        <w:t>.</w:t>
      </w:r>
    </w:p>
    <w:sectPr w:rsidR="00A5711E" w:rsidRPr="00A5711E" w:rsidSect="0088342A">
      <w:footerReference w:type="default" r:id="rId13"/>
      <w:pgSz w:w="12240" w:h="15840"/>
      <w:pgMar w:top="990" w:right="1440" w:bottom="5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B86" w:rsidRDefault="008F0B86" w:rsidP="00D12935">
      <w:pPr>
        <w:spacing w:after="0" w:line="240" w:lineRule="auto"/>
      </w:pPr>
      <w:r>
        <w:separator/>
      </w:r>
    </w:p>
  </w:endnote>
  <w:endnote w:type="continuationSeparator" w:id="0">
    <w:p w:rsidR="008F0B86" w:rsidRDefault="008F0B86" w:rsidP="00D1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ade Gothic LT Std Extended">
    <w:panose1 w:val="00000000000000000000"/>
    <w:charset w:val="00"/>
    <w:family w:val="moder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677635"/>
      <w:docPartObj>
        <w:docPartGallery w:val="Page Numbers (Bottom of Page)"/>
        <w:docPartUnique/>
      </w:docPartObj>
    </w:sdtPr>
    <w:sdtEndPr>
      <w:rPr>
        <w:noProof/>
      </w:rPr>
    </w:sdtEndPr>
    <w:sdtContent>
      <w:p w:rsidR="00CC6C87" w:rsidRDefault="00CC6C87">
        <w:pPr>
          <w:pStyle w:val="Footer"/>
          <w:jc w:val="right"/>
        </w:pPr>
        <w:r>
          <w:fldChar w:fldCharType="begin"/>
        </w:r>
        <w:r>
          <w:instrText xml:space="preserve"> PAGE   \* MERGEFORMAT </w:instrText>
        </w:r>
        <w:r>
          <w:fldChar w:fldCharType="separate"/>
        </w:r>
        <w:r w:rsidR="00DE16F8">
          <w:rPr>
            <w:noProof/>
          </w:rPr>
          <w:t>1</w:t>
        </w:r>
        <w:r>
          <w:rPr>
            <w:noProof/>
          </w:rPr>
          <w:fldChar w:fldCharType="end"/>
        </w:r>
      </w:p>
    </w:sdtContent>
  </w:sdt>
  <w:p w:rsidR="00CC6C87" w:rsidRDefault="00CC6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B86" w:rsidRDefault="008F0B86" w:rsidP="00D12935">
      <w:pPr>
        <w:spacing w:after="0" w:line="240" w:lineRule="auto"/>
      </w:pPr>
      <w:r>
        <w:separator/>
      </w:r>
    </w:p>
  </w:footnote>
  <w:footnote w:type="continuationSeparator" w:id="0">
    <w:p w:rsidR="008F0B86" w:rsidRDefault="008F0B86" w:rsidP="00D129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BE6"/>
    <w:multiLevelType w:val="hybridMultilevel"/>
    <w:tmpl w:val="0B565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B7A84"/>
    <w:multiLevelType w:val="hybridMultilevel"/>
    <w:tmpl w:val="E656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2023C"/>
    <w:multiLevelType w:val="hybridMultilevel"/>
    <w:tmpl w:val="276E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140CB"/>
    <w:multiLevelType w:val="hybridMultilevel"/>
    <w:tmpl w:val="E94A5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237D4"/>
    <w:multiLevelType w:val="hybridMultilevel"/>
    <w:tmpl w:val="B50ABCE4"/>
    <w:lvl w:ilvl="0" w:tplc="3C7E16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73387D"/>
    <w:multiLevelType w:val="hybridMultilevel"/>
    <w:tmpl w:val="86DA02DA"/>
    <w:lvl w:ilvl="0" w:tplc="8238FFF8">
      <w:start w:val="50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D0DC1"/>
    <w:multiLevelType w:val="hybridMultilevel"/>
    <w:tmpl w:val="A9A6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B0EB1"/>
    <w:multiLevelType w:val="hybridMultilevel"/>
    <w:tmpl w:val="ADD8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E3149"/>
    <w:multiLevelType w:val="hybridMultilevel"/>
    <w:tmpl w:val="29BEA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FE10F1"/>
    <w:multiLevelType w:val="hybridMultilevel"/>
    <w:tmpl w:val="2E1A19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7EA4176">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A54CFD"/>
    <w:multiLevelType w:val="hybridMultilevel"/>
    <w:tmpl w:val="8054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75C39"/>
    <w:multiLevelType w:val="hybridMultilevel"/>
    <w:tmpl w:val="66D8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A0DBD"/>
    <w:multiLevelType w:val="hybridMultilevel"/>
    <w:tmpl w:val="8440F3D8"/>
    <w:lvl w:ilvl="0" w:tplc="A23EA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BB3A5D"/>
    <w:multiLevelType w:val="hybridMultilevel"/>
    <w:tmpl w:val="6238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64CFC"/>
    <w:multiLevelType w:val="hybridMultilevel"/>
    <w:tmpl w:val="C0040AD8"/>
    <w:lvl w:ilvl="0" w:tplc="04090001">
      <w:start w:val="1"/>
      <w:numFmt w:val="bullet"/>
      <w:lvlText w:val=""/>
      <w:lvlJc w:val="left"/>
      <w:pPr>
        <w:ind w:left="720" w:hanging="360"/>
      </w:pPr>
      <w:rPr>
        <w:rFonts w:ascii="Symbol" w:hAnsi="Symbol" w:hint="default"/>
      </w:rPr>
    </w:lvl>
    <w:lvl w:ilvl="1" w:tplc="D30873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A1744"/>
    <w:multiLevelType w:val="hybridMultilevel"/>
    <w:tmpl w:val="65BC3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22B2F"/>
    <w:multiLevelType w:val="hybridMultilevel"/>
    <w:tmpl w:val="C5EA55F4"/>
    <w:lvl w:ilvl="0" w:tplc="04090001">
      <w:start w:val="1"/>
      <w:numFmt w:val="bullet"/>
      <w:lvlText w:val=""/>
      <w:lvlJc w:val="left"/>
      <w:pPr>
        <w:ind w:left="720" w:hanging="360"/>
      </w:pPr>
      <w:rPr>
        <w:rFonts w:ascii="Symbol" w:hAnsi="Symbol" w:hint="default"/>
      </w:rPr>
    </w:lvl>
    <w:lvl w:ilvl="1" w:tplc="D30873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B1662"/>
    <w:multiLevelType w:val="hybridMultilevel"/>
    <w:tmpl w:val="A57C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657C38"/>
    <w:multiLevelType w:val="hybridMultilevel"/>
    <w:tmpl w:val="844E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739D2"/>
    <w:multiLevelType w:val="hybridMultilevel"/>
    <w:tmpl w:val="DF12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6A23B7"/>
    <w:multiLevelType w:val="hybridMultilevel"/>
    <w:tmpl w:val="A100F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E462954"/>
    <w:multiLevelType w:val="hybridMultilevel"/>
    <w:tmpl w:val="FCBC4B26"/>
    <w:lvl w:ilvl="0" w:tplc="4088081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1"/>
  </w:num>
  <w:num w:numId="5">
    <w:abstractNumId w:val="18"/>
  </w:num>
  <w:num w:numId="6">
    <w:abstractNumId w:val="6"/>
  </w:num>
  <w:num w:numId="7">
    <w:abstractNumId w:val="2"/>
  </w:num>
  <w:num w:numId="8">
    <w:abstractNumId w:val="16"/>
  </w:num>
  <w:num w:numId="9">
    <w:abstractNumId w:val="11"/>
  </w:num>
  <w:num w:numId="10">
    <w:abstractNumId w:val="20"/>
  </w:num>
  <w:num w:numId="11">
    <w:abstractNumId w:val="3"/>
  </w:num>
  <w:num w:numId="12">
    <w:abstractNumId w:val="9"/>
  </w:num>
  <w:num w:numId="13">
    <w:abstractNumId w:val="0"/>
  </w:num>
  <w:num w:numId="14">
    <w:abstractNumId w:val="14"/>
  </w:num>
  <w:num w:numId="15">
    <w:abstractNumId w:val="19"/>
  </w:num>
  <w:num w:numId="16">
    <w:abstractNumId w:val="17"/>
  </w:num>
  <w:num w:numId="17">
    <w:abstractNumId w:val="5"/>
  </w:num>
  <w:num w:numId="18">
    <w:abstractNumId w:val="21"/>
  </w:num>
  <w:num w:numId="19">
    <w:abstractNumId w:val="13"/>
  </w:num>
  <w:num w:numId="20">
    <w:abstractNumId w:val="15"/>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11E"/>
    <w:rsid w:val="00003B3E"/>
    <w:rsid w:val="000056A3"/>
    <w:rsid w:val="0001063B"/>
    <w:rsid w:val="00013070"/>
    <w:rsid w:val="0001496D"/>
    <w:rsid w:val="0001714F"/>
    <w:rsid w:val="00022058"/>
    <w:rsid w:val="00025827"/>
    <w:rsid w:val="00031725"/>
    <w:rsid w:val="00031C53"/>
    <w:rsid w:val="00033B5F"/>
    <w:rsid w:val="00035016"/>
    <w:rsid w:val="00041880"/>
    <w:rsid w:val="00042490"/>
    <w:rsid w:val="000438FF"/>
    <w:rsid w:val="0005150A"/>
    <w:rsid w:val="00062BF5"/>
    <w:rsid w:val="00065A13"/>
    <w:rsid w:val="000678A1"/>
    <w:rsid w:val="0007010C"/>
    <w:rsid w:val="0007215A"/>
    <w:rsid w:val="0008037D"/>
    <w:rsid w:val="000816DC"/>
    <w:rsid w:val="00082D6A"/>
    <w:rsid w:val="0009378F"/>
    <w:rsid w:val="000A0BEC"/>
    <w:rsid w:val="000A3692"/>
    <w:rsid w:val="000B3D48"/>
    <w:rsid w:val="000B6A44"/>
    <w:rsid w:val="000B7EA1"/>
    <w:rsid w:val="000C0201"/>
    <w:rsid w:val="000C367B"/>
    <w:rsid w:val="000C388F"/>
    <w:rsid w:val="000C3CDF"/>
    <w:rsid w:val="000C5CF1"/>
    <w:rsid w:val="000D08AD"/>
    <w:rsid w:val="000D2AEA"/>
    <w:rsid w:val="000D4524"/>
    <w:rsid w:val="000D485C"/>
    <w:rsid w:val="000D6286"/>
    <w:rsid w:val="000D64F7"/>
    <w:rsid w:val="000E089D"/>
    <w:rsid w:val="000E59A2"/>
    <w:rsid w:val="000F0E20"/>
    <w:rsid w:val="000F301D"/>
    <w:rsid w:val="000F6D54"/>
    <w:rsid w:val="000F70FC"/>
    <w:rsid w:val="00112C9A"/>
    <w:rsid w:val="001202F8"/>
    <w:rsid w:val="0012648A"/>
    <w:rsid w:val="0013192F"/>
    <w:rsid w:val="00136A64"/>
    <w:rsid w:val="00137EF3"/>
    <w:rsid w:val="001436B1"/>
    <w:rsid w:val="0014675B"/>
    <w:rsid w:val="00146CAF"/>
    <w:rsid w:val="00154755"/>
    <w:rsid w:val="00163E8F"/>
    <w:rsid w:val="001659FC"/>
    <w:rsid w:val="00173578"/>
    <w:rsid w:val="00173A6E"/>
    <w:rsid w:val="0018327A"/>
    <w:rsid w:val="00194E9E"/>
    <w:rsid w:val="001A07CE"/>
    <w:rsid w:val="001A0F5A"/>
    <w:rsid w:val="001A5039"/>
    <w:rsid w:val="001C4ED0"/>
    <w:rsid w:val="001C714E"/>
    <w:rsid w:val="001C74F3"/>
    <w:rsid w:val="001D6E1E"/>
    <w:rsid w:val="001D789C"/>
    <w:rsid w:val="001E54AE"/>
    <w:rsid w:val="001E636A"/>
    <w:rsid w:val="00202B8A"/>
    <w:rsid w:val="00206C6B"/>
    <w:rsid w:val="00211B2D"/>
    <w:rsid w:val="002164C4"/>
    <w:rsid w:val="0022185F"/>
    <w:rsid w:val="002307E8"/>
    <w:rsid w:val="00230C9B"/>
    <w:rsid w:val="0023271C"/>
    <w:rsid w:val="002373B3"/>
    <w:rsid w:val="00237D5C"/>
    <w:rsid w:val="00241DC1"/>
    <w:rsid w:val="0024248F"/>
    <w:rsid w:val="002432D9"/>
    <w:rsid w:val="002566A1"/>
    <w:rsid w:val="00265C88"/>
    <w:rsid w:val="00267506"/>
    <w:rsid w:val="00271257"/>
    <w:rsid w:val="00273802"/>
    <w:rsid w:val="00280DA5"/>
    <w:rsid w:val="00283656"/>
    <w:rsid w:val="0028490C"/>
    <w:rsid w:val="0028531B"/>
    <w:rsid w:val="00292520"/>
    <w:rsid w:val="00295F23"/>
    <w:rsid w:val="002A0492"/>
    <w:rsid w:val="002A262F"/>
    <w:rsid w:val="002A3FA4"/>
    <w:rsid w:val="002A5FE6"/>
    <w:rsid w:val="002C3314"/>
    <w:rsid w:val="002C4169"/>
    <w:rsid w:val="002D0B3F"/>
    <w:rsid w:val="002E359E"/>
    <w:rsid w:val="002E4EB3"/>
    <w:rsid w:val="002F1B1D"/>
    <w:rsid w:val="002F1D40"/>
    <w:rsid w:val="002F2A9D"/>
    <w:rsid w:val="002F3DD5"/>
    <w:rsid w:val="002F3E6E"/>
    <w:rsid w:val="00303972"/>
    <w:rsid w:val="003044F9"/>
    <w:rsid w:val="003069AC"/>
    <w:rsid w:val="00314C40"/>
    <w:rsid w:val="00315016"/>
    <w:rsid w:val="003170CA"/>
    <w:rsid w:val="00317CC3"/>
    <w:rsid w:val="00320107"/>
    <w:rsid w:val="00322D41"/>
    <w:rsid w:val="00327918"/>
    <w:rsid w:val="00330881"/>
    <w:rsid w:val="00332056"/>
    <w:rsid w:val="00333278"/>
    <w:rsid w:val="003360C0"/>
    <w:rsid w:val="00341580"/>
    <w:rsid w:val="003420C2"/>
    <w:rsid w:val="003505D9"/>
    <w:rsid w:val="00351CE6"/>
    <w:rsid w:val="00354D9A"/>
    <w:rsid w:val="00355097"/>
    <w:rsid w:val="003550AD"/>
    <w:rsid w:val="00361EC1"/>
    <w:rsid w:val="00363ECB"/>
    <w:rsid w:val="003703CD"/>
    <w:rsid w:val="00373218"/>
    <w:rsid w:val="0037394E"/>
    <w:rsid w:val="0037685E"/>
    <w:rsid w:val="003835DE"/>
    <w:rsid w:val="00387DD9"/>
    <w:rsid w:val="0039020A"/>
    <w:rsid w:val="00390807"/>
    <w:rsid w:val="003A0128"/>
    <w:rsid w:val="003A1F42"/>
    <w:rsid w:val="003A45A2"/>
    <w:rsid w:val="003A488C"/>
    <w:rsid w:val="003A55AA"/>
    <w:rsid w:val="003A55D3"/>
    <w:rsid w:val="003A7910"/>
    <w:rsid w:val="003B2CD8"/>
    <w:rsid w:val="003C0CEB"/>
    <w:rsid w:val="003C127C"/>
    <w:rsid w:val="003C4776"/>
    <w:rsid w:val="003C4C08"/>
    <w:rsid w:val="003D514B"/>
    <w:rsid w:val="003D6575"/>
    <w:rsid w:val="003D7ADB"/>
    <w:rsid w:val="003E18D3"/>
    <w:rsid w:val="003E1EA2"/>
    <w:rsid w:val="003E5B4C"/>
    <w:rsid w:val="003F37BB"/>
    <w:rsid w:val="003F70F9"/>
    <w:rsid w:val="004012BD"/>
    <w:rsid w:val="00404E49"/>
    <w:rsid w:val="00405061"/>
    <w:rsid w:val="00412601"/>
    <w:rsid w:val="00413946"/>
    <w:rsid w:val="00421D63"/>
    <w:rsid w:val="004300B7"/>
    <w:rsid w:val="0043291B"/>
    <w:rsid w:val="0043458B"/>
    <w:rsid w:val="004501FE"/>
    <w:rsid w:val="0045092C"/>
    <w:rsid w:val="00451F82"/>
    <w:rsid w:val="004617BF"/>
    <w:rsid w:val="004618D7"/>
    <w:rsid w:val="0046300D"/>
    <w:rsid w:val="0047093E"/>
    <w:rsid w:val="00470E94"/>
    <w:rsid w:val="004711D0"/>
    <w:rsid w:val="004727F8"/>
    <w:rsid w:val="00480D6A"/>
    <w:rsid w:val="004826E9"/>
    <w:rsid w:val="00482AFF"/>
    <w:rsid w:val="0048501F"/>
    <w:rsid w:val="004A0172"/>
    <w:rsid w:val="004B0F70"/>
    <w:rsid w:val="004B550D"/>
    <w:rsid w:val="004C2248"/>
    <w:rsid w:val="004C31B0"/>
    <w:rsid w:val="004C35D7"/>
    <w:rsid w:val="004C427C"/>
    <w:rsid w:val="004C60D4"/>
    <w:rsid w:val="004C783C"/>
    <w:rsid w:val="004D22A7"/>
    <w:rsid w:val="004E2A72"/>
    <w:rsid w:val="004E61B7"/>
    <w:rsid w:val="004E710D"/>
    <w:rsid w:val="004F001B"/>
    <w:rsid w:val="004F016C"/>
    <w:rsid w:val="004F26B8"/>
    <w:rsid w:val="004F2AFE"/>
    <w:rsid w:val="004F2B91"/>
    <w:rsid w:val="004F3B33"/>
    <w:rsid w:val="004F41D0"/>
    <w:rsid w:val="005026D7"/>
    <w:rsid w:val="00505395"/>
    <w:rsid w:val="00507C5F"/>
    <w:rsid w:val="00510CDB"/>
    <w:rsid w:val="00511CF8"/>
    <w:rsid w:val="00514AEA"/>
    <w:rsid w:val="005155AE"/>
    <w:rsid w:val="00517A5F"/>
    <w:rsid w:val="0052091B"/>
    <w:rsid w:val="0053131A"/>
    <w:rsid w:val="005325F4"/>
    <w:rsid w:val="00532E65"/>
    <w:rsid w:val="00533426"/>
    <w:rsid w:val="00534584"/>
    <w:rsid w:val="00536C00"/>
    <w:rsid w:val="00540158"/>
    <w:rsid w:val="00541997"/>
    <w:rsid w:val="00541DBE"/>
    <w:rsid w:val="005446F3"/>
    <w:rsid w:val="00546F4A"/>
    <w:rsid w:val="00550D68"/>
    <w:rsid w:val="00551102"/>
    <w:rsid w:val="00553C21"/>
    <w:rsid w:val="00555490"/>
    <w:rsid w:val="005564AC"/>
    <w:rsid w:val="00565812"/>
    <w:rsid w:val="005748DC"/>
    <w:rsid w:val="0057560B"/>
    <w:rsid w:val="00575C77"/>
    <w:rsid w:val="00585389"/>
    <w:rsid w:val="005876C7"/>
    <w:rsid w:val="0059035B"/>
    <w:rsid w:val="00591A18"/>
    <w:rsid w:val="00594447"/>
    <w:rsid w:val="005A3A78"/>
    <w:rsid w:val="005A58E6"/>
    <w:rsid w:val="005A6AA8"/>
    <w:rsid w:val="005C51F5"/>
    <w:rsid w:val="005C54C2"/>
    <w:rsid w:val="005D43DF"/>
    <w:rsid w:val="005D6125"/>
    <w:rsid w:val="005D796E"/>
    <w:rsid w:val="005E0213"/>
    <w:rsid w:val="005E0C51"/>
    <w:rsid w:val="005E4B3F"/>
    <w:rsid w:val="005F1985"/>
    <w:rsid w:val="005F1E4D"/>
    <w:rsid w:val="005F433B"/>
    <w:rsid w:val="005F7658"/>
    <w:rsid w:val="006013A5"/>
    <w:rsid w:val="00604185"/>
    <w:rsid w:val="00607AD8"/>
    <w:rsid w:val="0061175C"/>
    <w:rsid w:val="00613736"/>
    <w:rsid w:val="006139BF"/>
    <w:rsid w:val="00614F60"/>
    <w:rsid w:val="00616748"/>
    <w:rsid w:val="0062057B"/>
    <w:rsid w:val="0062164D"/>
    <w:rsid w:val="0062168E"/>
    <w:rsid w:val="0062259B"/>
    <w:rsid w:val="00622DFF"/>
    <w:rsid w:val="0062387F"/>
    <w:rsid w:val="00623931"/>
    <w:rsid w:val="00635F69"/>
    <w:rsid w:val="006371DE"/>
    <w:rsid w:val="00640704"/>
    <w:rsid w:val="00642F06"/>
    <w:rsid w:val="0065262C"/>
    <w:rsid w:val="00654EC1"/>
    <w:rsid w:val="006631DD"/>
    <w:rsid w:val="00663916"/>
    <w:rsid w:val="00666819"/>
    <w:rsid w:val="00666CAB"/>
    <w:rsid w:val="00672DDD"/>
    <w:rsid w:val="00682DBD"/>
    <w:rsid w:val="006903E8"/>
    <w:rsid w:val="006928E5"/>
    <w:rsid w:val="006B0F7C"/>
    <w:rsid w:val="006C118E"/>
    <w:rsid w:val="006C44AD"/>
    <w:rsid w:val="006C55CE"/>
    <w:rsid w:val="006C727B"/>
    <w:rsid w:val="006C7675"/>
    <w:rsid w:val="006D5B98"/>
    <w:rsid w:val="006D6C2B"/>
    <w:rsid w:val="006E0112"/>
    <w:rsid w:val="006E38BD"/>
    <w:rsid w:val="006E722C"/>
    <w:rsid w:val="006F155B"/>
    <w:rsid w:val="006F20EE"/>
    <w:rsid w:val="006F21F8"/>
    <w:rsid w:val="006F250E"/>
    <w:rsid w:val="007029A6"/>
    <w:rsid w:val="0070399A"/>
    <w:rsid w:val="007109F7"/>
    <w:rsid w:val="0071601F"/>
    <w:rsid w:val="00716580"/>
    <w:rsid w:val="007176A5"/>
    <w:rsid w:val="00720559"/>
    <w:rsid w:val="00720ABC"/>
    <w:rsid w:val="00726BB2"/>
    <w:rsid w:val="00732396"/>
    <w:rsid w:val="00732E2A"/>
    <w:rsid w:val="00734B90"/>
    <w:rsid w:val="00743A05"/>
    <w:rsid w:val="00750332"/>
    <w:rsid w:val="00752108"/>
    <w:rsid w:val="00752F6A"/>
    <w:rsid w:val="00764159"/>
    <w:rsid w:val="00776D09"/>
    <w:rsid w:val="00777C43"/>
    <w:rsid w:val="00791F02"/>
    <w:rsid w:val="0079354C"/>
    <w:rsid w:val="00794150"/>
    <w:rsid w:val="0079673A"/>
    <w:rsid w:val="00797204"/>
    <w:rsid w:val="00797FBF"/>
    <w:rsid w:val="007A0570"/>
    <w:rsid w:val="007A101B"/>
    <w:rsid w:val="007A2003"/>
    <w:rsid w:val="007A7BF5"/>
    <w:rsid w:val="007B4EED"/>
    <w:rsid w:val="007C48DF"/>
    <w:rsid w:val="007C73E4"/>
    <w:rsid w:val="007D5287"/>
    <w:rsid w:val="007D683D"/>
    <w:rsid w:val="007D7659"/>
    <w:rsid w:val="007D79B0"/>
    <w:rsid w:val="007E003C"/>
    <w:rsid w:val="007F01F1"/>
    <w:rsid w:val="007F503F"/>
    <w:rsid w:val="007F577C"/>
    <w:rsid w:val="007F5C77"/>
    <w:rsid w:val="008026B1"/>
    <w:rsid w:val="00802A2F"/>
    <w:rsid w:val="008032D8"/>
    <w:rsid w:val="00804164"/>
    <w:rsid w:val="00806755"/>
    <w:rsid w:val="00807247"/>
    <w:rsid w:val="00811892"/>
    <w:rsid w:val="00812903"/>
    <w:rsid w:val="008149D9"/>
    <w:rsid w:val="00814D4E"/>
    <w:rsid w:val="008159EE"/>
    <w:rsid w:val="00815A57"/>
    <w:rsid w:val="008177C4"/>
    <w:rsid w:val="00826D1D"/>
    <w:rsid w:val="00830F5E"/>
    <w:rsid w:val="00831DFE"/>
    <w:rsid w:val="00844681"/>
    <w:rsid w:val="008504A5"/>
    <w:rsid w:val="008557B0"/>
    <w:rsid w:val="008566D3"/>
    <w:rsid w:val="00861399"/>
    <w:rsid w:val="0086139A"/>
    <w:rsid w:val="008649F2"/>
    <w:rsid w:val="00864C28"/>
    <w:rsid w:val="00865BE0"/>
    <w:rsid w:val="00870D06"/>
    <w:rsid w:val="00874B4D"/>
    <w:rsid w:val="008805DF"/>
    <w:rsid w:val="0088342A"/>
    <w:rsid w:val="00883DCC"/>
    <w:rsid w:val="00884AF9"/>
    <w:rsid w:val="008934B8"/>
    <w:rsid w:val="00897DB5"/>
    <w:rsid w:val="008A4E93"/>
    <w:rsid w:val="008A5326"/>
    <w:rsid w:val="008A6725"/>
    <w:rsid w:val="008B475F"/>
    <w:rsid w:val="008B66EB"/>
    <w:rsid w:val="008C1400"/>
    <w:rsid w:val="008C2145"/>
    <w:rsid w:val="008C67BE"/>
    <w:rsid w:val="008D04F4"/>
    <w:rsid w:val="008D1CC9"/>
    <w:rsid w:val="008D3B28"/>
    <w:rsid w:val="008D4DBB"/>
    <w:rsid w:val="008D4E2C"/>
    <w:rsid w:val="008D72B6"/>
    <w:rsid w:val="008D7CF7"/>
    <w:rsid w:val="008E1956"/>
    <w:rsid w:val="008E3AFC"/>
    <w:rsid w:val="008E4D87"/>
    <w:rsid w:val="008E5F60"/>
    <w:rsid w:val="008F0B86"/>
    <w:rsid w:val="008F2EC5"/>
    <w:rsid w:val="008F3134"/>
    <w:rsid w:val="00900B82"/>
    <w:rsid w:val="009019E9"/>
    <w:rsid w:val="00901B94"/>
    <w:rsid w:val="009021F7"/>
    <w:rsid w:val="0090729C"/>
    <w:rsid w:val="00912F1F"/>
    <w:rsid w:val="009217D7"/>
    <w:rsid w:val="00927CCD"/>
    <w:rsid w:val="00931264"/>
    <w:rsid w:val="0093168F"/>
    <w:rsid w:val="00935E4F"/>
    <w:rsid w:val="009374C4"/>
    <w:rsid w:val="0094133B"/>
    <w:rsid w:val="00943631"/>
    <w:rsid w:val="0095067A"/>
    <w:rsid w:val="00952C5D"/>
    <w:rsid w:val="00952F34"/>
    <w:rsid w:val="00955733"/>
    <w:rsid w:val="00957096"/>
    <w:rsid w:val="00960953"/>
    <w:rsid w:val="00962077"/>
    <w:rsid w:val="00962126"/>
    <w:rsid w:val="0097133C"/>
    <w:rsid w:val="00984CE4"/>
    <w:rsid w:val="00985416"/>
    <w:rsid w:val="009868E0"/>
    <w:rsid w:val="0099084D"/>
    <w:rsid w:val="00991F09"/>
    <w:rsid w:val="009973A6"/>
    <w:rsid w:val="009A18E7"/>
    <w:rsid w:val="009A334C"/>
    <w:rsid w:val="009A4909"/>
    <w:rsid w:val="009B0426"/>
    <w:rsid w:val="009C12FC"/>
    <w:rsid w:val="009C2034"/>
    <w:rsid w:val="009C52A1"/>
    <w:rsid w:val="009C6658"/>
    <w:rsid w:val="009D0463"/>
    <w:rsid w:val="009D71DC"/>
    <w:rsid w:val="009D7D20"/>
    <w:rsid w:val="009E3887"/>
    <w:rsid w:val="009F10DB"/>
    <w:rsid w:val="009F6749"/>
    <w:rsid w:val="00A01DCB"/>
    <w:rsid w:val="00A04DA6"/>
    <w:rsid w:val="00A05189"/>
    <w:rsid w:val="00A10B45"/>
    <w:rsid w:val="00A131B9"/>
    <w:rsid w:val="00A15362"/>
    <w:rsid w:val="00A200A5"/>
    <w:rsid w:val="00A20AF2"/>
    <w:rsid w:val="00A24A3D"/>
    <w:rsid w:val="00A3385A"/>
    <w:rsid w:val="00A36FA8"/>
    <w:rsid w:val="00A3735C"/>
    <w:rsid w:val="00A417D2"/>
    <w:rsid w:val="00A4350C"/>
    <w:rsid w:val="00A43DDE"/>
    <w:rsid w:val="00A50D7C"/>
    <w:rsid w:val="00A5371B"/>
    <w:rsid w:val="00A548EE"/>
    <w:rsid w:val="00A5711E"/>
    <w:rsid w:val="00A5760C"/>
    <w:rsid w:val="00A65C17"/>
    <w:rsid w:val="00A6760F"/>
    <w:rsid w:val="00A70EB8"/>
    <w:rsid w:val="00A75248"/>
    <w:rsid w:val="00A80055"/>
    <w:rsid w:val="00A827EE"/>
    <w:rsid w:val="00A85DB6"/>
    <w:rsid w:val="00A86F53"/>
    <w:rsid w:val="00A90F20"/>
    <w:rsid w:val="00AA473D"/>
    <w:rsid w:val="00AA5223"/>
    <w:rsid w:val="00AA5C43"/>
    <w:rsid w:val="00AA6693"/>
    <w:rsid w:val="00AB32EA"/>
    <w:rsid w:val="00AC2492"/>
    <w:rsid w:val="00AC568E"/>
    <w:rsid w:val="00AD1F60"/>
    <w:rsid w:val="00AD4F08"/>
    <w:rsid w:val="00AE06E2"/>
    <w:rsid w:val="00AE70D4"/>
    <w:rsid w:val="00AF33F1"/>
    <w:rsid w:val="00AF3A8E"/>
    <w:rsid w:val="00AF7440"/>
    <w:rsid w:val="00B00524"/>
    <w:rsid w:val="00B05426"/>
    <w:rsid w:val="00B05FFE"/>
    <w:rsid w:val="00B131D3"/>
    <w:rsid w:val="00B1386B"/>
    <w:rsid w:val="00B1593A"/>
    <w:rsid w:val="00B16D52"/>
    <w:rsid w:val="00B2026A"/>
    <w:rsid w:val="00B237B6"/>
    <w:rsid w:val="00B31C2D"/>
    <w:rsid w:val="00B343FA"/>
    <w:rsid w:val="00B356B5"/>
    <w:rsid w:val="00B361D8"/>
    <w:rsid w:val="00B43B47"/>
    <w:rsid w:val="00B46120"/>
    <w:rsid w:val="00B50021"/>
    <w:rsid w:val="00B503AB"/>
    <w:rsid w:val="00B52D27"/>
    <w:rsid w:val="00B6010E"/>
    <w:rsid w:val="00B64234"/>
    <w:rsid w:val="00B6652C"/>
    <w:rsid w:val="00B66C19"/>
    <w:rsid w:val="00B67088"/>
    <w:rsid w:val="00B70864"/>
    <w:rsid w:val="00B8163B"/>
    <w:rsid w:val="00B84560"/>
    <w:rsid w:val="00B87652"/>
    <w:rsid w:val="00B91F0A"/>
    <w:rsid w:val="00B92DFA"/>
    <w:rsid w:val="00B9604C"/>
    <w:rsid w:val="00B975DE"/>
    <w:rsid w:val="00BA21F3"/>
    <w:rsid w:val="00BA2A5A"/>
    <w:rsid w:val="00BA3866"/>
    <w:rsid w:val="00BA4D55"/>
    <w:rsid w:val="00BA6F8B"/>
    <w:rsid w:val="00BA72F4"/>
    <w:rsid w:val="00BB5A9F"/>
    <w:rsid w:val="00BB6C82"/>
    <w:rsid w:val="00BC21B1"/>
    <w:rsid w:val="00BC46B8"/>
    <w:rsid w:val="00BD13E3"/>
    <w:rsid w:val="00BD1F0D"/>
    <w:rsid w:val="00BD2854"/>
    <w:rsid w:val="00BD47BC"/>
    <w:rsid w:val="00BE5C63"/>
    <w:rsid w:val="00BF2CF7"/>
    <w:rsid w:val="00BF4335"/>
    <w:rsid w:val="00BF663A"/>
    <w:rsid w:val="00BF729F"/>
    <w:rsid w:val="00C02405"/>
    <w:rsid w:val="00C04AED"/>
    <w:rsid w:val="00C0746C"/>
    <w:rsid w:val="00C15EDA"/>
    <w:rsid w:val="00C20CB7"/>
    <w:rsid w:val="00C249FC"/>
    <w:rsid w:val="00C2571C"/>
    <w:rsid w:val="00C25E96"/>
    <w:rsid w:val="00C25ECB"/>
    <w:rsid w:val="00C33284"/>
    <w:rsid w:val="00C403BA"/>
    <w:rsid w:val="00C44C20"/>
    <w:rsid w:val="00C45F34"/>
    <w:rsid w:val="00C46C4F"/>
    <w:rsid w:val="00C47461"/>
    <w:rsid w:val="00C535FE"/>
    <w:rsid w:val="00C53E9C"/>
    <w:rsid w:val="00C60D79"/>
    <w:rsid w:val="00C63B6F"/>
    <w:rsid w:val="00C736BE"/>
    <w:rsid w:val="00C7674B"/>
    <w:rsid w:val="00C768AE"/>
    <w:rsid w:val="00C77F74"/>
    <w:rsid w:val="00C80894"/>
    <w:rsid w:val="00C82360"/>
    <w:rsid w:val="00C850C1"/>
    <w:rsid w:val="00C93667"/>
    <w:rsid w:val="00C9588C"/>
    <w:rsid w:val="00CA1DA8"/>
    <w:rsid w:val="00CA26FE"/>
    <w:rsid w:val="00CA70B2"/>
    <w:rsid w:val="00CB1E93"/>
    <w:rsid w:val="00CB27A3"/>
    <w:rsid w:val="00CB40D0"/>
    <w:rsid w:val="00CB722C"/>
    <w:rsid w:val="00CB78A7"/>
    <w:rsid w:val="00CC2604"/>
    <w:rsid w:val="00CC28CD"/>
    <w:rsid w:val="00CC6C87"/>
    <w:rsid w:val="00CD59EA"/>
    <w:rsid w:val="00CD6D96"/>
    <w:rsid w:val="00CF0BE6"/>
    <w:rsid w:val="00CF643F"/>
    <w:rsid w:val="00CF7A39"/>
    <w:rsid w:val="00D0062C"/>
    <w:rsid w:val="00D0164A"/>
    <w:rsid w:val="00D01BEC"/>
    <w:rsid w:val="00D03249"/>
    <w:rsid w:val="00D06FF2"/>
    <w:rsid w:val="00D12935"/>
    <w:rsid w:val="00D15B77"/>
    <w:rsid w:val="00D1645C"/>
    <w:rsid w:val="00D17CF2"/>
    <w:rsid w:val="00D2732F"/>
    <w:rsid w:val="00D343DC"/>
    <w:rsid w:val="00D410F4"/>
    <w:rsid w:val="00D43AF9"/>
    <w:rsid w:val="00D451F1"/>
    <w:rsid w:val="00D47FAC"/>
    <w:rsid w:val="00D51C28"/>
    <w:rsid w:val="00D54E7F"/>
    <w:rsid w:val="00D54FB3"/>
    <w:rsid w:val="00D55566"/>
    <w:rsid w:val="00D601F5"/>
    <w:rsid w:val="00D633C2"/>
    <w:rsid w:val="00D63E1F"/>
    <w:rsid w:val="00D67AA5"/>
    <w:rsid w:val="00D71914"/>
    <w:rsid w:val="00D752A4"/>
    <w:rsid w:val="00D77271"/>
    <w:rsid w:val="00D83320"/>
    <w:rsid w:val="00D83D46"/>
    <w:rsid w:val="00D865AB"/>
    <w:rsid w:val="00D93F5A"/>
    <w:rsid w:val="00D973AB"/>
    <w:rsid w:val="00DA7C4F"/>
    <w:rsid w:val="00DB1170"/>
    <w:rsid w:val="00DB11DF"/>
    <w:rsid w:val="00DB5B97"/>
    <w:rsid w:val="00DB600B"/>
    <w:rsid w:val="00DB62B9"/>
    <w:rsid w:val="00DB6BE5"/>
    <w:rsid w:val="00DC0ABF"/>
    <w:rsid w:val="00DC2279"/>
    <w:rsid w:val="00DC3333"/>
    <w:rsid w:val="00DC356C"/>
    <w:rsid w:val="00DC7AB1"/>
    <w:rsid w:val="00DD1552"/>
    <w:rsid w:val="00DD2ABB"/>
    <w:rsid w:val="00DD63AA"/>
    <w:rsid w:val="00DE16F8"/>
    <w:rsid w:val="00DE38AA"/>
    <w:rsid w:val="00DE4B67"/>
    <w:rsid w:val="00DE7EAE"/>
    <w:rsid w:val="00DF51FF"/>
    <w:rsid w:val="00DF5B7B"/>
    <w:rsid w:val="00E03383"/>
    <w:rsid w:val="00E149E0"/>
    <w:rsid w:val="00E15EF7"/>
    <w:rsid w:val="00E16B61"/>
    <w:rsid w:val="00E20B37"/>
    <w:rsid w:val="00E2272F"/>
    <w:rsid w:val="00E27302"/>
    <w:rsid w:val="00E27312"/>
    <w:rsid w:val="00E30222"/>
    <w:rsid w:val="00E30B80"/>
    <w:rsid w:val="00E33FD3"/>
    <w:rsid w:val="00E42117"/>
    <w:rsid w:val="00E456CC"/>
    <w:rsid w:val="00E464D4"/>
    <w:rsid w:val="00E4733D"/>
    <w:rsid w:val="00E53A2A"/>
    <w:rsid w:val="00E56C2C"/>
    <w:rsid w:val="00E61839"/>
    <w:rsid w:val="00E6242F"/>
    <w:rsid w:val="00E71876"/>
    <w:rsid w:val="00E76D96"/>
    <w:rsid w:val="00E847AE"/>
    <w:rsid w:val="00E909F5"/>
    <w:rsid w:val="00E92168"/>
    <w:rsid w:val="00E92A92"/>
    <w:rsid w:val="00EA1515"/>
    <w:rsid w:val="00EA3A53"/>
    <w:rsid w:val="00EA6075"/>
    <w:rsid w:val="00EA6517"/>
    <w:rsid w:val="00EA7CDB"/>
    <w:rsid w:val="00EA7EB5"/>
    <w:rsid w:val="00EB2F11"/>
    <w:rsid w:val="00EC4B26"/>
    <w:rsid w:val="00EC5070"/>
    <w:rsid w:val="00EC77E4"/>
    <w:rsid w:val="00ED0931"/>
    <w:rsid w:val="00ED25E5"/>
    <w:rsid w:val="00EE1957"/>
    <w:rsid w:val="00EE3A98"/>
    <w:rsid w:val="00EE576E"/>
    <w:rsid w:val="00EE730E"/>
    <w:rsid w:val="00EE7740"/>
    <w:rsid w:val="00EF2959"/>
    <w:rsid w:val="00EF368E"/>
    <w:rsid w:val="00EF5E7E"/>
    <w:rsid w:val="00F01555"/>
    <w:rsid w:val="00F065D3"/>
    <w:rsid w:val="00F10123"/>
    <w:rsid w:val="00F12109"/>
    <w:rsid w:val="00F14ECB"/>
    <w:rsid w:val="00F1693D"/>
    <w:rsid w:val="00F17193"/>
    <w:rsid w:val="00F20338"/>
    <w:rsid w:val="00F25915"/>
    <w:rsid w:val="00F26597"/>
    <w:rsid w:val="00F336FB"/>
    <w:rsid w:val="00F34C93"/>
    <w:rsid w:val="00F37EBE"/>
    <w:rsid w:val="00F46059"/>
    <w:rsid w:val="00F474F1"/>
    <w:rsid w:val="00F50AC9"/>
    <w:rsid w:val="00F56169"/>
    <w:rsid w:val="00F56235"/>
    <w:rsid w:val="00F63C76"/>
    <w:rsid w:val="00F6521C"/>
    <w:rsid w:val="00F706BF"/>
    <w:rsid w:val="00F73199"/>
    <w:rsid w:val="00F74667"/>
    <w:rsid w:val="00F819F6"/>
    <w:rsid w:val="00F836AC"/>
    <w:rsid w:val="00F9059F"/>
    <w:rsid w:val="00F97D5D"/>
    <w:rsid w:val="00FA0018"/>
    <w:rsid w:val="00FA1CD6"/>
    <w:rsid w:val="00FA5021"/>
    <w:rsid w:val="00FA6055"/>
    <w:rsid w:val="00FB031A"/>
    <w:rsid w:val="00FB0CB9"/>
    <w:rsid w:val="00FB1C2B"/>
    <w:rsid w:val="00FB4A56"/>
    <w:rsid w:val="00FB53F1"/>
    <w:rsid w:val="00FB7845"/>
    <w:rsid w:val="00FC13B5"/>
    <w:rsid w:val="00FC2411"/>
    <w:rsid w:val="00FC4EBA"/>
    <w:rsid w:val="00FC663E"/>
    <w:rsid w:val="00FC67F9"/>
    <w:rsid w:val="00FC7FDB"/>
    <w:rsid w:val="00FE495B"/>
    <w:rsid w:val="00FE62FD"/>
    <w:rsid w:val="00FF160E"/>
    <w:rsid w:val="00FF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F939A"/>
  <w15:docId w15:val="{F1DA060B-A14C-4B2C-876F-1716BDA4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38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55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38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526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E2"/>
    <w:rPr>
      <w:rFonts w:ascii="Tahoma" w:hAnsi="Tahoma" w:cs="Tahoma"/>
      <w:sz w:val="16"/>
      <w:szCs w:val="16"/>
    </w:rPr>
  </w:style>
  <w:style w:type="paragraph" w:styleId="ListParagraph">
    <w:name w:val="List Paragraph"/>
    <w:basedOn w:val="Normal"/>
    <w:link w:val="ListParagraphChar"/>
    <w:uiPriority w:val="34"/>
    <w:qFormat/>
    <w:rsid w:val="009D71DC"/>
    <w:pPr>
      <w:ind w:left="720"/>
      <w:contextualSpacing/>
    </w:pPr>
  </w:style>
  <w:style w:type="paragraph" w:styleId="NoSpacing">
    <w:name w:val="No Spacing"/>
    <w:qFormat/>
    <w:rsid w:val="003E5B4C"/>
    <w:pPr>
      <w:spacing w:after="0" w:line="240" w:lineRule="auto"/>
    </w:pPr>
  </w:style>
  <w:style w:type="table" w:styleId="TableGrid">
    <w:name w:val="Table Grid"/>
    <w:basedOn w:val="TableNormal"/>
    <w:uiPriority w:val="59"/>
    <w:rsid w:val="00BA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38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55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A386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12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35"/>
  </w:style>
  <w:style w:type="paragraph" w:styleId="Footer">
    <w:name w:val="footer"/>
    <w:basedOn w:val="Normal"/>
    <w:link w:val="FooterChar"/>
    <w:uiPriority w:val="99"/>
    <w:unhideWhenUsed/>
    <w:rsid w:val="00D12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35"/>
  </w:style>
  <w:style w:type="paragraph" w:styleId="Title">
    <w:name w:val="Title"/>
    <w:basedOn w:val="Normal"/>
    <w:link w:val="TitleChar"/>
    <w:qFormat/>
    <w:rsid w:val="00AD1F60"/>
    <w:pPr>
      <w:spacing w:after="180" w:line="240" w:lineRule="auto"/>
      <w:jc w:val="center"/>
    </w:pPr>
    <w:rPr>
      <w:rFonts w:ascii="Arial" w:eastAsia="Arial Unicode MS" w:hAnsi="Arial" w:cs="Arial"/>
      <w:b/>
      <w:bCs/>
      <w:sz w:val="28"/>
      <w:szCs w:val="20"/>
    </w:rPr>
  </w:style>
  <w:style w:type="character" w:customStyle="1" w:styleId="TitleChar">
    <w:name w:val="Title Char"/>
    <w:basedOn w:val="DefaultParagraphFont"/>
    <w:link w:val="Title"/>
    <w:rsid w:val="00AD1F60"/>
    <w:rPr>
      <w:rFonts w:ascii="Arial" w:eastAsia="Arial Unicode MS" w:hAnsi="Arial" w:cs="Arial"/>
      <w:b/>
      <w:bCs/>
      <w:sz w:val="28"/>
      <w:szCs w:val="20"/>
    </w:rPr>
  </w:style>
  <w:style w:type="character" w:customStyle="1" w:styleId="Heading4Char">
    <w:name w:val="Heading 4 Char"/>
    <w:basedOn w:val="DefaultParagraphFont"/>
    <w:link w:val="Heading4"/>
    <w:uiPriority w:val="9"/>
    <w:rsid w:val="0065262C"/>
    <w:rPr>
      <w:rFonts w:asciiTheme="majorHAnsi" w:eastAsiaTheme="majorEastAsia" w:hAnsiTheme="majorHAnsi" w:cstheme="majorBidi"/>
      <w:b/>
      <w:bCs/>
      <w:i/>
      <w:iCs/>
      <w:color w:val="4F81BD" w:themeColor="accent1"/>
    </w:rPr>
  </w:style>
  <w:style w:type="character" w:customStyle="1" w:styleId="ListParagraphChar">
    <w:name w:val="List Paragraph Char"/>
    <w:basedOn w:val="DefaultParagraphFont"/>
    <w:link w:val="ListParagraph"/>
    <w:uiPriority w:val="34"/>
    <w:rsid w:val="00E61839"/>
  </w:style>
  <w:style w:type="character" w:styleId="Hyperlink">
    <w:name w:val="Hyperlink"/>
    <w:basedOn w:val="DefaultParagraphFont"/>
    <w:uiPriority w:val="99"/>
    <w:unhideWhenUsed/>
    <w:rsid w:val="00A85DB6"/>
    <w:rPr>
      <w:color w:val="0000FF" w:themeColor="hyperlink"/>
      <w:u w:val="single"/>
    </w:rPr>
  </w:style>
  <w:style w:type="paragraph" w:styleId="Revision">
    <w:name w:val="Revision"/>
    <w:hidden/>
    <w:uiPriority w:val="99"/>
    <w:semiHidden/>
    <w:rsid w:val="00D1645C"/>
    <w:pPr>
      <w:spacing w:after="0" w:line="240" w:lineRule="auto"/>
    </w:pPr>
  </w:style>
  <w:style w:type="character" w:styleId="CommentReference">
    <w:name w:val="annotation reference"/>
    <w:basedOn w:val="DefaultParagraphFont"/>
    <w:uiPriority w:val="99"/>
    <w:semiHidden/>
    <w:unhideWhenUsed/>
    <w:rsid w:val="00752108"/>
    <w:rPr>
      <w:sz w:val="16"/>
      <w:szCs w:val="16"/>
    </w:rPr>
  </w:style>
  <w:style w:type="paragraph" w:styleId="CommentText">
    <w:name w:val="annotation text"/>
    <w:basedOn w:val="Normal"/>
    <w:link w:val="CommentTextChar"/>
    <w:uiPriority w:val="99"/>
    <w:unhideWhenUsed/>
    <w:rsid w:val="00752108"/>
    <w:pPr>
      <w:spacing w:line="240" w:lineRule="auto"/>
    </w:pPr>
    <w:rPr>
      <w:sz w:val="20"/>
      <w:szCs w:val="20"/>
    </w:rPr>
  </w:style>
  <w:style w:type="character" w:customStyle="1" w:styleId="CommentTextChar">
    <w:name w:val="Comment Text Char"/>
    <w:basedOn w:val="DefaultParagraphFont"/>
    <w:link w:val="CommentText"/>
    <w:uiPriority w:val="99"/>
    <w:rsid w:val="00752108"/>
    <w:rPr>
      <w:sz w:val="20"/>
      <w:szCs w:val="20"/>
    </w:rPr>
  </w:style>
  <w:style w:type="paragraph" w:styleId="CommentSubject">
    <w:name w:val="annotation subject"/>
    <w:basedOn w:val="CommentText"/>
    <w:next w:val="CommentText"/>
    <w:link w:val="CommentSubjectChar"/>
    <w:uiPriority w:val="99"/>
    <w:semiHidden/>
    <w:unhideWhenUsed/>
    <w:rsid w:val="00752108"/>
    <w:rPr>
      <w:b/>
      <w:bCs/>
    </w:rPr>
  </w:style>
  <w:style w:type="character" w:customStyle="1" w:styleId="CommentSubjectChar">
    <w:name w:val="Comment Subject Char"/>
    <w:basedOn w:val="CommentTextChar"/>
    <w:link w:val="CommentSubject"/>
    <w:uiPriority w:val="99"/>
    <w:semiHidden/>
    <w:rsid w:val="007521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inatechnology.com/contac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talinatechnology.com/?CTAP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g\Desktop\MetaViewer%20Capt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D31B5-4066-4F93-9EA2-9B52711D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MetaViewer Capture</Template>
  <TotalTime>21</TotalTime>
  <Pages>1</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Goetz</dc:creator>
  <cp:lastModifiedBy>Nick A. Sprau</cp:lastModifiedBy>
  <cp:revision>3</cp:revision>
  <cp:lastPrinted>2016-07-15T13:14:00Z</cp:lastPrinted>
  <dcterms:created xsi:type="dcterms:W3CDTF">2016-07-26T15:51:00Z</dcterms:created>
  <dcterms:modified xsi:type="dcterms:W3CDTF">2016-07-26T17:57:00Z</dcterms:modified>
</cp:coreProperties>
</file>