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2A158" w14:textId="77777777" w:rsidR="00984D57" w:rsidRPr="00984D57" w:rsidRDefault="00984D57" w:rsidP="005143B1">
      <w:pPr>
        <w:jc w:val="center"/>
        <w:rPr>
          <w:rFonts w:ascii="Century Gothic" w:eastAsia="Times New Roman" w:hAnsi="Century Gothic" w:cs="Times New Roman"/>
          <w:b/>
          <w:bCs/>
          <w:color w:val="000000"/>
          <w:shd w:val="clear" w:color="auto" w:fill="FFFFFF"/>
        </w:rPr>
      </w:pPr>
    </w:p>
    <w:p w14:paraId="5754AB5F" w14:textId="77777777" w:rsidR="005143B1" w:rsidRPr="00D35EF6" w:rsidRDefault="005143B1" w:rsidP="005143B1">
      <w:pPr>
        <w:jc w:val="center"/>
        <w:rPr>
          <w:rFonts w:ascii="Calibri" w:eastAsia="Times New Roman" w:hAnsi="Calibri" w:cs="Times New Roman"/>
          <w:b/>
          <w:bCs/>
          <w:sz w:val="28"/>
          <w:szCs w:val="28"/>
        </w:rPr>
      </w:pPr>
      <w:r w:rsidRPr="00D35EF6">
        <w:rPr>
          <w:rFonts w:ascii="Calibri" w:eastAsia="Times New Roman" w:hAnsi="Calibri" w:cs="Times New Roman"/>
          <w:b/>
          <w:bCs/>
          <w:color w:val="000000"/>
          <w:sz w:val="28"/>
          <w:szCs w:val="28"/>
          <w:shd w:val="clear" w:color="auto" w:fill="FFFFFF"/>
        </w:rPr>
        <w:t>StoneGate Senior Living, LLC Works to Improve Funding for Texas’ Elderly Population</w:t>
      </w:r>
    </w:p>
    <w:p w14:paraId="663F45D5" w14:textId="77777777" w:rsidR="005143B1" w:rsidRPr="00D35EF6" w:rsidRDefault="005143B1" w:rsidP="005143B1">
      <w:pPr>
        <w:shd w:val="clear" w:color="auto" w:fill="FFFFFF"/>
        <w:rPr>
          <w:rFonts w:ascii="Calibri" w:hAnsi="Calibri" w:cs="Times New Roman"/>
          <w:color w:val="000000"/>
          <w:sz w:val="22"/>
          <w:szCs w:val="22"/>
        </w:rPr>
      </w:pPr>
    </w:p>
    <w:p w14:paraId="2466F2EB" w14:textId="5F1B6041" w:rsidR="005143B1" w:rsidRPr="00D35EF6" w:rsidRDefault="005143B1" w:rsidP="00D35EF6">
      <w:pPr>
        <w:shd w:val="clear" w:color="auto" w:fill="FFFFFF"/>
        <w:jc w:val="center"/>
        <w:rPr>
          <w:rFonts w:ascii="Calibri" w:hAnsi="Calibri"/>
          <w:bCs/>
          <w:sz w:val="22"/>
          <w:szCs w:val="22"/>
        </w:rPr>
      </w:pPr>
      <w:r w:rsidRPr="00D35EF6">
        <w:rPr>
          <w:rFonts w:ascii="Calibri" w:hAnsi="Calibri" w:cs="Times New Roman"/>
          <w:color w:val="000000"/>
          <w:sz w:val="22"/>
          <w:szCs w:val="22"/>
        </w:rPr>
        <w:t xml:space="preserve">The company, which provides </w:t>
      </w:r>
      <w:r w:rsidRPr="00D35EF6">
        <w:rPr>
          <w:rFonts w:ascii="Calibri" w:hAnsi="Calibri"/>
          <w:bCs/>
          <w:sz w:val="22"/>
          <w:szCs w:val="22"/>
        </w:rPr>
        <w:t xml:space="preserve">support services to senior living and care properties </w:t>
      </w:r>
      <w:r w:rsidR="00984D57" w:rsidRPr="00D35EF6">
        <w:rPr>
          <w:rFonts w:ascii="Calibri" w:hAnsi="Calibri"/>
          <w:bCs/>
          <w:sz w:val="22"/>
          <w:szCs w:val="22"/>
        </w:rPr>
        <w:t xml:space="preserve">in </w:t>
      </w:r>
      <w:r w:rsidR="00E00207" w:rsidRPr="00D35EF6">
        <w:rPr>
          <w:rFonts w:ascii="Calibri" w:hAnsi="Calibri"/>
          <w:bCs/>
          <w:sz w:val="22"/>
          <w:szCs w:val="22"/>
        </w:rPr>
        <w:t xml:space="preserve">Texas, Oklahoma, and Colorado, </w:t>
      </w:r>
      <w:r w:rsidR="00D35EF6">
        <w:rPr>
          <w:rFonts w:ascii="Calibri" w:hAnsi="Calibri"/>
          <w:bCs/>
          <w:sz w:val="22"/>
          <w:szCs w:val="22"/>
        </w:rPr>
        <w:t xml:space="preserve">says the response from legislators and senators is positive. </w:t>
      </w:r>
      <w:r w:rsidR="00984D57" w:rsidRPr="00D35EF6">
        <w:rPr>
          <w:rFonts w:ascii="Calibri" w:hAnsi="Calibri"/>
          <w:bCs/>
          <w:sz w:val="22"/>
          <w:szCs w:val="22"/>
        </w:rPr>
        <w:t xml:space="preserve"> </w:t>
      </w:r>
    </w:p>
    <w:p w14:paraId="1C81E27C" w14:textId="77777777" w:rsidR="005143B1" w:rsidRPr="00D35EF6" w:rsidRDefault="005143B1" w:rsidP="005143B1">
      <w:pPr>
        <w:pStyle w:val="Header"/>
        <w:jc w:val="center"/>
        <w:rPr>
          <w:rFonts w:ascii="Calibri" w:hAnsi="Calibri"/>
          <w:b/>
          <w:sz w:val="22"/>
          <w:szCs w:val="22"/>
        </w:rPr>
      </w:pPr>
    </w:p>
    <w:p w14:paraId="02DF285C" w14:textId="138725F5" w:rsidR="005143B1" w:rsidRPr="00D35EF6" w:rsidRDefault="007926A6" w:rsidP="005143B1">
      <w:pPr>
        <w:rPr>
          <w:rFonts w:ascii="Calibri" w:hAnsi="Calibri" w:cs="Times New Roman"/>
          <w:color w:val="000000"/>
          <w:sz w:val="22"/>
          <w:szCs w:val="22"/>
        </w:rPr>
      </w:pPr>
      <w:r>
        <w:rPr>
          <w:rFonts w:ascii="Calibri" w:hAnsi="Calibri"/>
          <w:b/>
          <w:sz w:val="22"/>
          <w:szCs w:val="22"/>
        </w:rPr>
        <w:t>(AUSTIN – March 9</w:t>
      </w:r>
      <w:bookmarkStart w:id="0" w:name="_GoBack"/>
      <w:bookmarkEnd w:id="0"/>
      <w:r w:rsidR="005143B1" w:rsidRPr="00D35EF6">
        <w:rPr>
          <w:rFonts w:ascii="Calibri" w:hAnsi="Calibri"/>
          <w:b/>
          <w:sz w:val="22"/>
          <w:szCs w:val="22"/>
        </w:rPr>
        <w:t xml:space="preserve">, 2017) – </w:t>
      </w:r>
      <w:r w:rsidR="005143B1" w:rsidRPr="00D35EF6">
        <w:rPr>
          <w:rFonts w:ascii="Calibri" w:hAnsi="Calibri"/>
          <w:bCs/>
          <w:sz w:val="22"/>
          <w:szCs w:val="22"/>
        </w:rPr>
        <w:t xml:space="preserve"> </w:t>
      </w:r>
      <w:hyperlink r:id="rId6" w:history="1">
        <w:r w:rsidR="005143B1" w:rsidRPr="00D35EF6">
          <w:rPr>
            <w:rStyle w:val="Hyperlink"/>
            <w:rFonts w:ascii="Calibri" w:hAnsi="Calibri" w:cs="Times New Roman"/>
            <w:sz w:val="22"/>
            <w:szCs w:val="22"/>
          </w:rPr>
          <w:t xml:space="preserve">StoneGate Senior Living, LLC </w:t>
        </w:r>
      </w:hyperlink>
      <w:r w:rsidR="005143B1" w:rsidRPr="00D35EF6">
        <w:rPr>
          <w:rFonts w:ascii="Calibri" w:hAnsi="Calibri" w:cs="Times New Roman"/>
          <w:color w:val="000000"/>
          <w:sz w:val="22"/>
          <w:szCs w:val="22"/>
        </w:rPr>
        <w:t xml:space="preserve"> leaders met in Austin with Texas state legislators to ask for their support of Senate Bill 1130, the Nursing Facility Reinvestment Allowance (NFRA), and Senate Bill 890 that would establish a moratorium on Medicaid beds in the state. </w:t>
      </w:r>
    </w:p>
    <w:p w14:paraId="229B7CAE" w14:textId="77777777" w:rsidR="00D35EF6" w:rsidRPr="00D35EF6" w:rsidRDefault="00D35EF6" w:rsidP="005143B1">
      <w:pPr>
        <w:rPr>
          <w:rFonts w:ascii="Calibri" w:hAnsi="Calibri"/>
          <w:bCs/>
          <w:sz w:val="22"/>
          <w:szCs w:val="22"/>
        </w:rPr>
      </w:pPr>
    </w:p>
    <w:p w14:paraId="18960F99" w14:textId="209F6EEA" w:rsidR="00D35EF6" w:rsidRPr="00D35EF6" w:rsidRDefault="005143B1" w:rsidP="00D35EF6">
      <w:pPr>
        <w:shd w:val="clear" w:color="auto" w:fill="FFFFFF"/>
        <w:rPr>
          <w:rFonts w:ascii="Calibri" w:hAnsi="Calibri" w:cs="Times New Roman"/>
          <w:color w:val="000000"/>
          <w:sz w:val="22"/>
          <w:szCs w:val="22"/>
        </w:rPr>
      </w:pPr>
      <w:r w:rsidRPr="00D35EF6">
        <w:rPr>
          <w:rFonts w:ascii="Calibri" w:hAnsi="Calibri" w:cs="Times New Roman"/>
          <w:color w:val="000000"/>
          <w:sz w:val="22"/>
          <w:szCs w:val="22"/>
        </w:rPr>
        <w:t xml:space="preserve">NFRA is a budget-neutral program that allows Texas to draw-down additional Federal dollars to improve the care and service provided to long-term care Medicaid residents in nursing facilities across the state. </w:t>
      </w:r>
    </w:p>
    <w:p w14:paraId="09B441A7" w14:textId="77777777" w:rsidR="00D35EF6" w:rsidRPr="00D35EF6" w:rsidRDefault="00D35EF6" w:rsidP="005143B1">
      <w:pPr>
        <w:shd w:val="clear" w:color="auto" w:fill="FFFFFF"/>
        <w:rPr>
          <w:rFonts w:ascii="Calibri" w:hAnsi="Calibri" w:cs="Times New Roman"/>
          <w:color w:val="000000"/>
          <w:sz w:val="22"/>
          <w:szCs w:val="22"/>
        </w:rPr>
      </w:pPr>
    </w:p>
    <w:p w14:paraId="55166BCD" w14:textId="58327AD4" w:rsidR="00D35EF6" w:rsidRPr="00D35EF6" w:rsidRDefault="005143B1" w:rsidP="00D35EF6">
      <w:pPr>
        <w:shd w:val="clear" w:color="auto" w:fill="FFFFFF"/>
        <w:rPr>
          <w:rFonts w:ascii="Calibri" w:hAnsi="Calibri" w:cs="Times New Roman"/>
          <w:color w:val="000000"/>
          <w:sz w:val="22"/>
          <w:szCs w:val="22"/>
        </w:rPr>
      </w:pPr>
      <w:r w:rsidRPr="00D35EF6">
        <w:rPr>
          <w:rFonts w:ascii="Calibri" w:hAnsi="Calibri" w:cs="Times New Roman"/>
          <w:color w:val="000000"/>
          <w:sz w:val="22"/>
          <w:szCs w:val="22"/>
        </w:rPr>
        <w:t>The </w:t>
      </w:r>
      <w:r w:rsidRPr="00D35EF6">
        <w:rPr>
          <w:rFonts w:ascii="Calibri" w:hAnsi="Calibri" w:cs="Times New Roman"/>
          <w:i/>
          <w:iCs/>
          <w:color w:val="000000"/>
          <w:sz w:val="22"/>
          <w:szCs w:val="22"/>
        </w:rPr>
        <w:t>ALEC-Laffer State Economic Outlook Rankings 2016</w:t>
      </w:r>
      <w:r w:rsidRPr="00D35EF6">
        <w:rPr>
          <w:rFonts w:ascii="Calibri" w:hAnsi="Calibri" w:cs="Times New Roman"/>
          <w:color w:val="000000"/>
          <w:sz w:val="22"/>
          <w:szCs w:val="22"/>
        </w:rPr>
        <w:t> ranked Texas as the nation’s 12</w:t>
      </w:r>
      <w:r w:rsidRPr="00D35EF6">
        <w:rPr>
          <w:rFonts w:ascii="Calibri" w:hAnsi="Calibri" w:cs="Times New Roman"/>
          <w:color w:val="000000"/>
          <w:sz w:val="22"/>
          <w:szCs w:val="22"/>
          <w:vertAlign w:val="superscript"/>
        </w:rPr>
        <w:t>th</w:t>
      </w:r>
      <w:r w:rsidRPr="00D35EF6">
        <w:rPr>
          <w:rFonts w:ascii="Calibri" w:hAnsi="Calibri" w:cs="Times New Roman"/>
          <w:color w:val="000000"/>
          <w:sz w:val="22"/>
          <w:szCs w:val="22"/>
        </w:rPr>
        <w:t> most favorable state economy. Despite Texas’ robust growth and economic health, it currently ranks 48</w:t>
      </w:r>
      <w:r w:rsidRPr="00D35EF6">
        <w:rPr>
          <w:rFonts w:ascii="Calibri" w:hAnsi="Calibri" w:cs="Times New Roman"/>
          <w:color w:val="000000"/>
          <w:sz w:val="22"/>
          <w:szCs w:val="22"/>
          <w:vertAlign w:val="superscript"/>
        </w:rPr>
        <w:t>th</w:t>
      </w:r>
      <w:r w:rsidRPr="00D35EF6">
        <w:rPr>
          <w:rFonts w:ascii="Calibri" w:hAnsi="Calibri" w:cs="Times New Roman"/>
          <w:color w:val="000000"/>
          <w:sz w:val="22"/>
          <w:szCs w:val="22"/>
        </w:rPr>
        <w:t> of 50 states in payment for long-term care Medicaid residents in nursing facilities. StoneGate leaders offered state representative and senators the NFRA solution, which will improve funding of care for Texas frail elderly population with no increase in taxes. 43 states already utilize programs similar to NFRA.  </w:t>
      </w:r>
    </w:p>
    <w:p w14:paraId="570F05E0" w14:textId="77777777" w:rsidR="005143B1" w:rsidRPr="00D35EF6" w:rsidRDefault="005143B1" w:rsidP="005143B1">
      <w:pPr>
        <w:shd w:val="clear" w:color="auto" w:fill="FFFFFF"/>
        <w:rPr>
          <w:rFonts w:ascii="Calibri" w:hAnsi="Calibri" w:cs="Times New Roman"/>
          <w:color w:val="000000"/>
          <w:sz w:val="22"/>
          <w:szCs w:val="22"/>
        </w:rPr>
      </w:pPr>
      <w:r w:rsidRPr="00D35EF6">
        <w:rPr>
          <w:rFonts w:ascii="Calibri" w:hAnsi="Calibri" w:cs="Times New Roman"/>
          <w:color w:val="000000"/>
          <w:sz w:val="22"/>
          <w:szCs w:val="22"/>
        </w:rPr>
        <w:t> </w:t>
      </w:r>
    </w:p>
    <w:p w14:paraId="766135D8" w14:textId="77777777" w:rsidR="005143B1" w:rsidRDefault="005143B1" w:rsidP="005143B1">
      <w:pPr>
        <w:shd w:val="clear" w:color="auto" w:fill="FFFFFF"/>
        <w:rPr>
          <w:rFonts w:ascii="Calibri" w:hAnsi="Calibri" w:cs="Times New Roman"/>
          <w:color w:val="000000"/>
          <w:sz w:val="22"/>
          <w:szCs w:val="22"/>
        </w:rPr>
      </w:pPr>
      <w:r w:rsidRPr="00D35EF6">
        <w:rPr>
          <w:rFonts w:ascii="Calibri" w:hAnsi="Calibri" w:cs="Times New Roman"/>
          <w:color w:val="000000"/>
          <w:sz w:val="22"/>
          <w:szCs w:val="22"/>
        </w:rPr>
        <w:t>Senate Bill (SB) 890 would establish a moratorium on new Medicaid beds in Texas. SB 890 will give lawmakers and health care regulators a chance to slow down growth and examine how to better meet the needs of an aging state while making best use of Medicaid dollars. Texas’ current low occupancy rate in nursing facilities – 70% versus 88% nationally – drives increased costs and dilutes the workforce.</w:t>
      </w:r>
    </w:p>
    <w:p w14:paraId="53264041" w14:textId="77777777" w:rsidR="00D35EF6" w:rsidRDefault="00D35EF6" w:rsidP="005143B1">
      <w:pPr>
        <w:shd w:val="clear" w:color="auto" w:fill="FFFFFF"/>
        <w:rPr>
          <w:rFonts w:ascii="Calibri" w:hAnsi="Calibri" w:cs="Times New Roman"/>
          <w:color w:val="000000"/>
          <w:sz w:val="22"/>
          <w:szCs w:val="22"/>
        </w:rPr>
      </w:pPr>
    </w:p>
    <w:p w14:paraId="14D6F9DD" w14:textId="0C585783" w:rsidR="00D35EF6" w:rsidRPr="00D35EF6" w:rsidRDefault="00D35EF6" w:rsidP="00D35EF6">
      <w:pPr>
        <w:shd w:val="clear" w:color="auto" w:fill="FFFFFF"/>
        <w:rPr>
          <w:rFonts w:ascii="Calibri" w:hAnsi="Calibri"/>
          <w:bCs/>
          <w:sz w:val="22"/>
          <w:szCs w:val="22"/>
        </w:rPr>
      </w:pPr>
      <w:r w:rsidRPr="00D35EF6">
        <w:rPr>
          <w:rFonts w:ascii="Calibri" w:hAnsi="Calibri"/>
          <w:color w:val="000000"/>
          <w:sz w:val="22"/>
          <w:szCs w:val="22"/>
        </w:rPr>
        <w:t xml:space="preserve">“StoneGate believes that every person deserves comfort, dignity and quality care regardless of their socioeconomic circumstances. Enacting NFRA will allow StoneGate and other Texas long-term care providers to improve care provided to long-term care residents </w:t>
      </w:r>
      <w:r w:rsidR="00A860BD">
        <w:rPr>
          <w:rFonts w:ascii="Calibri" w:hAnsi="Calibri"/>
          <w:color w:val="000000"/>
          <w:sz w:val="22"/>
          <w:szCs w:val="22"/>
        </w:rPr>
        <w:t xml:space="preserve">in the state’s Medicaid program,” says </w:t>
      </w:r>
      <w:r w:rsidR="00C8459A">
        <w:rPr>
          <w:rFonts w:ascii="Calibri" w:hAnsi="Calibri"/>
          <w:color w:val="000000"/>
          <w:sz w:val="22"/>
          <w:szCs w:val="22"/>
        </w:rPr>
        <w:t xml:space="preserve">Eddie Parades, StoneGate’s SVP Government Affairs. </w:t>
      </w:r>
      <w:r w:rsidR="00A860BD">
        <w:rPr>
          <w:rFonts w:ascii="Calibri" w:hAnsi="Calibri"/>
          <w:color w:val="000000"/>
          <w:sz w:val="22"/>
          <w:szCs w:val="22"/>
        </w:rPr>
        <w:t>“</w:t>
      </w:r>
      <w:r w:rsidRPr="00D35EF6">
        <w:rPr>
          <w:rFonts w:ascii="Calibri" w:hAnsi="Calibri"/>
          <w:color w:val="000000"/>
          <w:sz w:val="22"/>
          <w:szCs w:val="22"/>
        </w:rPr>
        <w:t>It’s important to  remember that these are veterans of foreign wars, retired teachers, community leaders, mothers, fathers, aunts and uncles… We tend to talk about these things in terms of budgets and financial impact, and it’s important to remember the compassionate human element that’s at stake in the NFRA bill.”</w:t>
      </w:r>
    </w:p>
    <w:p w14:paraId="7D7BE396" w14:textId="77777777" w:rsidR="00D35EF6" w:rsidRPr="00D35EF6" w:rsidRDefault="00D35EF6" w:rsidP="005143B1">
      <w:pPr>
        <w:shd w:val="clear" w:color="auto" w:fill="FFFFFF"/>
        <w:rPr>
          <w:rFonts w:ascii="Calibri" w:hAnsi="Calibri" w:cs="Times New Roman"/>
          <w:color w:val="000000"/>
          <w:sz w:val="22"/>
          <w:szCs w:val="22"/>
        </w:rPr>
      </w:pPr>
    </w:p>
    <w:p w14:paraId="018EA3DC" w14:textId="03DFCBE1" w:rsidR="005143B1" w:rsidRPr="00D35EF6" w:rsidRDefault="005143B1" w:rsidP="00D35EF6">
      <w:pPr>
        <w:shd w:val="clear" w:color="auto" w:fill="FFFFFF"/>
        <w:rPr>
          <w:rFonts w:ascii="Calibri" w:hAnsi="Calibri" w:cs="Times New Roman"/>
          <w:color w:val="000000"/>
          <w:sz w:val="22"/>
          <w:szCs w:val="22"/>
        </w:rPr>
      </w:pPr>
      <w:r w:rsidRPr="00D35EF6">
        <w:rPr>
          <w:rFonts w:ascii="Calibri" w:hAnsi="Calibri" w:cs="Times New Roman"/>
          <w:color w:val="000000"/>
          <w:sz w:val="22"/>
          <w:szCs w:val="22"/>
        </w:rPr>
        <w:t>StoneGate leaders met with Rep. Dewayne Burrows, Lubbock; Rep. Trent Ashby, Lufkin; Sen. Lois Kolhorst, Brenham; Rep. Gary VanDeaver, New Boston; Sen. Bryan Hughes, Mineola; Rep. Lance Gooden, Terrell; Sen. Brian Birdwell, Granbury; Sen. John Whitmire, Houston; Sen. Kelly Hancock, North Richland Hills; Rep. Rodney Anderson, Grand Prairie; Rep. Garnet Coleman, Houston; Rep. Stephanie Klick, Fort Worth; Rep. Pat Fallon, Frisco; Rep. Matt Schaefer, Tyler; Rep. Yvonne Davis, Dallas; Rep. Jay Dean, Longview; Sen. Charles Perry, Lubbock; Sen. Van Taylor, Plano; Rep. Jodie Laubenberg, Wylie; Rep. Jason Villalba, Dallas; Sen. Bob Hall, Canton; and, Rep. Kevin Roberts, Houston.   </w:t>
      </w:r>
    </w:p>
    <w:p w14:paraId="190B3783" w14:textId="08E4D8E0" w:rsidR="00984D57" w:rsidRPr="00D35EF6" w:rsidRDefault="005143B1" w:rsidP="00D35EF6">
      <w:pPr>
        <w:shd w:val="clear" w:color="auto" w:fill="FFFFFF"/>
        <w:rPr>
          <w:rFonts w:ascii="Calibri" w:hAnsi="Calibri" w:cs="Times New Roman"/>
          <w:color w:val="000000"/>
          <w:sz w:val="22"/>
          <w:szCs w:val="22"/>
        </w:rPr>
      </w:pPr>
      <w:r w:rsidRPr="00D35EF6">
        <w:rPr>
          <w:rFonts w:ascii="Calibri" w:hAnsi="Calibri" w:cs="Times New Roman"/>
          <w:color w:val="000000"/>
          <w:sz w:val="22"/>
          <w:szCs w:val="22"/>
        </w:rPr>
        <w:lastRenderedPageBreak/>
        <w:t> </w:t>
      </w:r>
    </w:p>
    <w:p w14:paraId="5E5D56E2" w14:textId="77777777" w:rsidR="00984D57" w:rsidRPr="00D35EF6" w:rsidRDefault="00984D57" w:rsidP="00984D57">
      <w:pPr>
        <w:rPr>
          <w:rFonts w:ascii="Calibri" w:hAnsi="Calibri"/>
          <w:b/>
          <w:sz w:val="22"/>
          <w:szCs w:val="22"/>
        </w:rPr>
      </w:pPr>
      <w:r w:rsidRPr="00D35EF6">
        <w:rPr>
          <w:rFonts w:ascii="Calibri" w:hAnsi="Calibri"/>
          <w:b/>
          <w:sz w:val="22"/>
          <w:szCs w:val="22"/>
        </w:rPr>
        <w:t>To schedule an interview or to learn more about StoneGate please contact:</w:t>
      </w:r>
    </w:p>
    <w:p w14:paraId="3DDB0214" w14:textId="77777777" w:rsidR="00984D57" w:rsidRPr="00D35EF6" w:rsidRDefault="00984D57" w:rsidP="00D35EF6">
      <w:pPr>
        <w:jc w:val="both"/>
        <w:rPr>
          <w:rFonts w:ascii="Calibri" w:hAnsi="Calibri"/>
          <w:sz w:val="22"/>
          <w:szCs w:val="22"/>
        </w:rPr>
      </w:pPr>
    </w:p>
    <w:p w14:paraId="15EB9B46" w14:textId="7A4BC685" w:rsidR="00984D57" w:rsidRPr="00D35EF6" w:rsidRDefault="00D35EF6" w:rsidP="00D35EF6">
      <w:pPr>
        <w:jc w:val="both"/>
        <w:rPr>
          <w:rFonts w:ascii="Calibri" w:hAnsi="Calibri"/>
          <w:b/>
          <w:sz w:val="22"/>
          <w:szCs w:val="22"/>
        </w:rPr>
      </w:pPr>
      <w:r w:rsidRPr="00D35EF6">
        <w:rPr>
          <w:rFonts w:ascii="Calibri" w:hAnsi="Calibri"/>
          <w:b/>
          <w:sz w:val="22"/>
          <w:szCs w:val="22"/>
        </w:rPr>
        <w:t>Media Contact</w:t>
      </w:r>
      <w:r w:rsidRPr="00D35EF6">
        <w:rPr>
          <w:rFonts w:ascii="Calibri" w:hAnsi="Calibri"/>
          <w:b/>
          <w:sz w:val="22"/>
          <w:szCs w:val="22"/>
        </w:rPr>
        <w:tab/>
      </w:r>
      <w:r w:rsidRPr="00D35EF6">
        <w:rPr>
          <w:rFonts w:ascii="Calibri" w:hAnsi="Calibri"/>
          <w:b/>
          <w:sz w:val="22"/>
          <w:szCs w:val="22"/>
        </w:rPr>
        <w:tab/>
      </w:r>
      <w:r w:rsidRPr="00D35EF6">
        <w:rPr>
          <w:rFonts w:ascii="Calibri" w:hAnsi="Calibri"/>
          <w:b/>
          <w:sz w:val="22"/>
          <w:szCs w:val="22"/>
        </w:rPr>
        <w:tab/>
      </w:r>
      <w:r w:rsidRPr="00D35EF6">
        <w:rPr>
          <w:rFonts w:ascii="Calibri" w:hAnsi="Calibri"/>
          <w:b/>
          <w:sz w:val="22"/>
          <w:szCs w:val="22"/>
        </w:rPr>
        <w:tab/>
        <w:t xml:space="preserve">        </w:t>
      </w:r>
      <w:r w:rsidR="00984D57" w:rsidRPr="00D35EF6">
        <w:rPr>
          <w:rFonts w:ascii="Calibri" w:hAnsi="Calibri"/>
          <w:b/>
          <w:sz w:val="22"/>
          <w:szCs w:val="22"/>
        </w:rPr>
        <w:t>Media Contact</w:t>
      </w:r>
    </w:p>
    <w:p w14:paraId="0AB09663" w14:textId="0BDAF7B0" w:rsidR="00984D57" w:rsidRPr="00D35EF6" w:rsidRDefault="00D35EF6" w:rsidP="00D35EF6">
      <w:pPr>
        <w:jc w:val="both"/>
        <w:rPr>
          <w:rFonts w:ascii="Calibri" w:hAnsi="Calibri"/>
          <w:sz w:val="22"/>
          <w:szCs w:val="22"/>
        </w:rPr>
      </w:pPr>
      <w:r w:rsidRPr="00D35EF6">
        <w:rPr>
          <w:rFonts w:ascii="Calibri" w:hAnsi="Calibri"/>
          <w:sz w:val="22"/>
          <w:szCs w:val="22"/>
        </w:rPr>
        <w:t xml:space="preserve">Tara Vreeland, PR Manager </w:t>
      </w:r>
      <w:r w:rsidRPr="00D35EF6">
        <w:rPr>
          <w:rFonts w:ascii="Calibri" w:hAnsi="Calibri"/>
          <w:sz w:val="22"/>
          <w:szCs w:val="22"/>
        </w:rPr>
        <w:tab/>
      </w:r>
      <w:r w:rsidRPr="00D35EF6">
        <w:rPr>
          <w:rFonts w:ascii="Calibri" w:hAnsi="Calibri"/>
          <w:sz w:val="22"/>
          <w:szCs w:val="22"/>
        </w:rPr>
        <w:tab/>
        <w:t xml:space="preserve">        </w:t>
      </w:r>
      <w:r w:rsidR="00984D57" w:rsidRPr="00D35EF6">
        <w:rPr>
          <w:rFonts w:ascii="Calibri" w:hAnsi="Calibri"/>
          <w:sz w:val="22"/>
          <w:szCs w:val="22"/>
        </w:rPr>
        <w:t>Anne Marie Petersen, PR Coordinator</w:t>
      </w:r>
    </w:p>
    <w:p w14:paraId="33861228" w14:textId="1380EF37" w:rsidR="00984D57" w:rsidRPr="00D35EF6" w:rsidRDefault="00D35EF6" w:rsidP="00D35EF6">
      <w:pPr>
        <w:jc w:val="both"/>
        <w:rPr>
          <w:rFonts w:ascii="Calibri" w:hAnsi="Calibri"/>
          <w:sz w:val="22"/>
          <w:szCs w:val="22"/>
        </w:rPr>
      </w:pPr>
      <w:r w:rsidRPr="00D35EF6">
        <w:rPr>
          <w:rFonts w:ascii="Calibri" w:hAnsi="Calibri"/>
          <w:sz w:val="22"/>
          <w:szCs w:val="22"/>
        </w:rPr>
        <w:t xml:space="preserve">(303) 929-8363 </w:t>
      </w:r>
      <w:r w:rsidRPr="00D35EF6">
        <w:rPr>
          <w:rFonts w:ascii="Calibri" w:hAnsi="Calibri"/>
          <w:sz w:val="22"/>
          <w:szCs w:val="22"/>
        </w:rPr>
        <w:tab/>
      </w:r>
      <w:r w:rsidRPr="00D35EF6">
        <w:rPr>
          <w:rFonts w:ascii="Calibri" w:hAnsi="Calibri"/>
          <w:sz w:val="22"/>
          <w:szCs w:val="22"/>
        </w:rPr>
        <w:tab/>
      </w:r>
      <w:r w:rsidRPr="00D35EF6">
        <w:rPr>
          <w:rFonts w:ascii="Calibri" w:hAnsi="Calibri"/>
          <w:sz w:val="22"/>
          <w:szCs w:val="22"/>
        </w:rPr>
        <w:tab/>
      </w:r>
      <w:r w:rsidRPr="00D35EF6">
        <w:rPr>
          <w:rFonts w:ascii="Calibri" w:hAnsi="Calibri"/>
          <w:sz w:val="22"/>
          <w:szCs w:val="22"/>
        </w:rPr>
        <w:tab/>
        <w:t xml:space="preserve">        </w:t>
      </w:r>
      <w:r w:rsidR="00984D57" w:rsidRPr="00D35EF6">
        <w:rPr>
          <w:rFonts w:ascii="Calibri" w:hAnsi="Calibri"/>
          <w:sz w:val="22"/>
          <w:szCs w:val="22"/>
        </w:rPr>
        <w:t>(760) 522-4400</w:t>
      </w:r>
    </w:p>
    <w:p w14:paraId="3973593B" w14:textId="1AA84019" w:rsidR="00984D57" w:rsidRPr="00D35EF6" w:rsidRDefault="00412F54" w:rsidP="00D35EF6">
      <w:pPr>
        <w:jc w:val="both"/>
        <w:rPr>
          <w:rFonts w:ascii="Calibri" w:hAnsi="Calibri"/>
          <w:sz w:val="22"/>
          <w:szCs w:val="22"/>
        </w:rPr>
      </w:pPr>
      <w:hyperlink r:id="rId7" w:history="1">
        <w:r w:rsidR="00984D57" w:rsidRPr="00D35EF6">
          <w:rPr>
            <w:rStyle w:val="Hyperlink"/>
            <w:rFonts w:ascii="Calibri" w:hAnsi="Calibri"/>
            <w:sz w:val="22"/>
            <w:szCs w:val="22"/>
          </w:rPr>
          <w:t>tvreeland@promoteonpurpose.com</w:t>
        </w:r>
      </w:hyperlink>
      <w:r w:rsidR="00D35EF6" w:rsidRPr="00D35EF6">
        <w:rPr>
          <w:rFonts w:ascii="Calibri" w:hAnsi="Calibri"/>
          <w:sz w:val="22"/>
          <w:szCs w:val="22"/>
        </w:rPr>
        <w:t xml:space="preserve">             </w:t>
      </w:r>
      <w:hyperlink r:id="rId8" w:history="1">
        <w:r w:rsidR="00984D57" w:rsidRPr="00D35EF6">
          <w:rPr>
            <w:rStyle w:val="Hyperlink"/>
            <w:rFonts w:ascii="Calibri" w:hAnsi="Calibri"/>
            <w:sz w:val="22"/>
            <w:szCs w:val="22"/>
          </w:rPr>
          <w:t>ampetersen@promoteonpurpose.com</w:t>
        </w:r>
      </w:hyperlink>
    </w:p>
    <w:p w14:paraId="1932F7F7" w14:textId="77777777" w:rsidR="00984D57" w:rsidRPr="00D35EF6" w:rsidRDefault="00984D57" w:rsidP="00984D57">
      <w:pPr>
        <w:rPr>
          <w:rFonts w:ascii="Calibri" w:hAnsi="Calibri"/>
          <w:sz w:val="22"/>
          <w:szCs w:val="22"/>
        </w:rPr>
      </w:pPr>
    </w:p>
    <w:p w14:paraId="535F75CD" w14:textId="77777777" w:rsidR="00984D57" w:rsidRPr="00D35EF6" w:rsidRDefault="00984D57" w:rsidP="00984D57">
      <w:pPr>
        <w:rPr>
          <w:rFonts w:ascii="Calibri" w:hAnsi="Calibri"/>
          <w:sz w:val="22"/>
          <w:szCs w:val="22"/>
        </w:rPr>
      </w:pPr>
      <w:r w:rsidRPr="00D35EF6">
        <w:rPr>
          <w:rFonts w:ascii="Calibri" w:hAnsi="Calibri"/>
          <w:b/>
          <w:sz w:val="22"/>
          <w:szCs w:val="22"/>
        </w:rPr>
        <w:t>About StoneGate Senior Living, LLC</w:t>
      </w:r>
      <w:r w:rsidRPr="00D35EF6">
        <w:rPr>
          <w:rFonts w:ascii="Calibri" w:hAnsi="Calibri"/>
          <w:b/>
          <w:sz w:val="22"/>
          <w:szCs w:val="22"/>
        </w:rPr>
        <w:br/>
      </w:r>
      <w:hyperlink r:id="rId9" w:history="1">
        <w:r w:rsidRPr="00D35EF6">
          <w:rPr>
            <w:rStyle w:val="Hyperlink"/>
            <w:rFonts w:ascii="Calibri" w:hAnsi="Calibri"/>
            <w:sz w:val="22"/>
            <w:szCs w:val="22"/>
          </w:rPr>
          <w:t>StoneGate Senior Living, LLC</w:t>
        </w:r>
      </w:hyperlink>
      <w:r w:rsidRPr="00D35EF6">
        <w:rPr>
          <w:rFonts w:ascii="Calibri" w:hAnsi="Calibri"/>
          <w:sz w:val="22"/>
          <w:szCs w:val="22"/>
        </w:rPr>
        <w:t xml:space="preserve"> provides support services to senior living and care properties that offer skilled health care, assisted living, memory support, and independent living locations in Colorado, Oklahoma, and Texas. Founded and led by a team of senior living industry veterans, StoneGate understands that careful attention to customer expectations is vital to the success of a senior living and care community. Learn more at </w:t>
      </w:r>
      <w:hyperlink r:id="rId10" w:history="1">
        <w:r w:rsidRPr="00D35EF6">
          <w:rPr>
            <w:rStyle w:val="Hyperlink"/>
            <w:rFonts w:ascii="Calibri" w:hAnsi="Calibri"/>
            <w:sz w:val="22"/>
            <w:szCs w:val="22"/>
          </w:rPr>
          <w:t>www.StonegateSL.com</w:t>
        </w:r>
      </w:hyperlink>
      <w:r w:rsidRPr="00D35EF6">
        <w:rPr>
          <w:rFonts w:ascii="Calibri" w:hAnsi="Calibri"/>
          <w:sz w:val="22"/>
          <w:szCs w:val="22"/>
        </w:rPr>
        <w:t>.</w:t>
      </w:r>
    </w:p>
    <w:p w14:paraId="103726B9" w14:textId="77777777" w:rsidR="00984D57" w:rsidRPr="00D35EF6" w:rsidRDefault="00984D57" w:rsidP="00984D57">
      <w:pPr>
        <w:rPr>
          <w:rFonts w:ascii="Calibri" w:hAnsi="Calibri"/>
          <w:sz w:val="22"/>
          <w:szCs w:val="22"/>
        </w:rPr>
      </w:pPr>
    </w:p>
    <w:p w14:paraId="2ED5343E" w14:textId="77777777" w:rsidR="00984D57" w:rsidRPr="00D35EF6" w:rsidRDefault="00984D57" w:rsidP="00984D57">
      <w:pPr>
        <w:jc w:val="center"/>
        <w:rPr>
          <w:rFonts w:ascii="Calibri" w:hAnsi="Calibri"/>
          <w:sz w:val="22"/>
          <w:szCs w:val="22"/>
        </w:rPr>
      </w:pPr>
      <w:r w:rsidRPr="00D35EF6">
        <w:rPr>
          <w:rFonts w:ascii="Calibri" w:hAnsi="Calibri"/>
          <w:sz w:val="22"/>
          <w:szCs w:val="22"/>
        </w:rPr>
        <w:t># # #</w:t>
      </w:r>
    </w:p>
    <w:p w14:paraId="4441E85E" w14:textId="77777777" w:rsidR="00984D57" w:rsidRPr="005143B1" w:rsidRDefault="00984D57" w:rsidP="005143B1">
      <w:pPr>
        <w:shd w:val="clear" w:color="auto" w:fill="FFFFFF"/>
        <w:rPr>
          <w:rFonts w:ascii="Times New Roman" w:hAnsi="Times New Roman" w:cs="Times New Roman"/>
          <w:color w:val="000000"/>
        </w:rPr>
      </w:pPr>
    </w:p>
    <w:p w14:paraId="2F7C40AE" w14:textId="77777777" w:rsidR="005143B1" w:rsidRPr="005143B1" w:rsidRDefault="005143B1" w:rsidP="005143B1">
      <w:pPr>
        <w:shd w:val="clear" w:color="auto" w:fill="FFFFFF"/>
        <w:rPr>
          <w:rFonts w:ascii="Times New Roman" w:hAnsi="Times New Roman" w:cs="Times New Roman"/>
          <w:color w:val="000000"/>
        </w:rPr>
      </w:pPr>
      <w:r w:rsidRPr="005143B1">
        <w:rPr>
          <w:rFonts w:ascii="Calibri" w:hAnsi="Calibri" w:cs="Times New Roman"/>
          <w:color w:val="000000"/>
        </w:rPr>
        <w:t> </w:t>
      </w:r>
    </w:p>
    <w:p w14:paraId="4CCA2794" w14:textId="77777777" w:rsidR="007E2179" w:rsidRDefault="007E2179"/>
    <w:sectPr w:rsidR="007E2179" w:rsidSect="00BE6E00">
      <w:headerReference w:type="default" r:id="rId11"/>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CF8AC" w14:textId="77777777" w:rsidR="00412F54" w:rsidRDefault="00412F54" w:rsidP="00984D57">
      <w:r>
        <w:separator/>
      </w:r>
    </w:p>
  </w:endnote>
  <w:endnote w:type="continuationSeparator" w:id="0">
    <w:p w14:paraId="7C630C5F" w14:textId="77777777" w:rsidR="00412F54" w:rsidRDefault="00412F54" w:rsidP="0098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DB0FC" w14:textId="77777777" w:rsidR="00412F54" w:rsidRDefault="00412F54" w:rsidP="00984D57">
      <w:r>
        <w:separator/>
      </w:r>
    </w:p>
  </w:footnote>
  <w:footnote w:type="continuationSeparator" w:id="0">
    <w:p w14:paraId="408B220B" w14:textId="77777777" w:rsidR="00412F54" w:rsidRDefault="00412F54" w:rsidP="00984D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23AC" w14:textId="77777777" w:rsidR="00984D57" w:rsidRDefault="00984D57" w:rsidP="00984D57">
    <w:pPr>
      <w:pStyle w:val="Header"/>
      <w:jc w:val="center"/>
      <w:rPr>
        <w:rFonts w:ascii="Century Gothic" w:hAnsi="Century Gothic"/>
        <w:b/>
        <w:bCs/>
        <w:sz w:val="28"/>
        <w:szCs w:val="28"/>
      </w:rPr>
    </w:pPr>
    <w:r>
      <w:rPr>
        <w:rFonts w:ascii="Century Gothic" w:hAnsi="Century Gothic"/>
        <w:b/>
        <w:bCs/>
        <w:noProof/>
        <w:sz w:val="28"/>
        <w:szCs w:val="28"/>
        <w:lang w:eastAsia="zh-CN"/>
      </w:rPr>
      <w:drawing>
        <wp:inline distT="0" distB="0" distL="0" distR="0" wp14:anchorId="54457C26" wp14:editId="08B8A9DB">
          <wp:extent cx="2906395" cy="1303655"/>
          <wp:effectExtent l="0" t="0" r="0" b="0"/>
          <wp:docPr id="2" name="Picture 2" descr="/Users/taravreeland/Desktop/Screen Shot 2017-03-07 at 9.05.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taravreeland/Desktop/Screen Shot 2017-03-07 at 9.05.58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6395" cy="1303655"/>
                  </a:xfrm>
                  <a:prstGeom prst="rect">
                    <a:avLst/>
                  </a:prstGeom>
                  <a:noFill/>
                  <a:ln>
                    <a:noFill/>
                  </a:ln>
                </pic:spPr>
              </pic:pic>
            </a:graphicData>
          </a:graphic>
        </wp:inline>
      </w:drawing>
    </w:r>
  </w:p>
  <w:p w14:paraId="1E2B6C61" w14:textId="77777777" w:rsidR="00984D57" w:rsidRDefault="00984D57" w:rsidP="00984D57">
    <w:pPr>
      <w:pStyle w:val="Header"/>
      <w:jc w:val="center"/>
      <w:rPr>
        <w:rFonts w:ascii="Century Gothic" w:hAnsi="Century Gothic"/>
        <w:b/>
        <w:bCs/>
        <w:sz w:val="28"/>
        <w:szCs w:val="28"/>
      </w:rPr>
    </w:pPr>
  </w:p>
  <w:p w14:paraId="02E9987D" w14:textId="77777777" w:rsidR="00984D57" w:rsidRPr="00984D57" w:rsidRDefault="00984D57" w:rsidP="00984D57">
    <w:pPr>
      <w:pStyle w:val="Header"/>
      <w:jc w:val="center"/>
      <w:rPr>
        <w:rFonts w:ascii="Century Gothic" w:hAnsi="Century Gothic"/>
        <w:b/>
        <w:bCs/>
        <w:sz w:val="28"/>
        <w:szCs w:val="28"/>
      </w:rPr>
    </w:pPr>
    <w:r w:rsidRPr="00984D57">
      <w:rPr>
        <w:rFonts w:ascii="Century Gothic" w:hAnsi="Century Gothic"/>
        <w:b/>
        <w:bCs/>
        <w:sz w:val="28"/>
        <w:szCs w:val="28"/>
      </w:rPr>
      <w:t>News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B1"/>
    <w:rsid w:val="00161DE4"/>
    <w:rsid w:val="00412F54"/>
    <w:rsid w:val="005143B1"/>
    <w:rsid w:val="00665D7F"/>
    <w:rsid w:val="007926A6"/>
    <w:rsid w:val="007937E2"/>
    <w:rsid w:val="007E2179"/>
    <w:rsid w:val="00984D57"/>
    <w:rsid w:val="00A860BD"/>
    <w:rsid w:val="00BE6E00"/>
    <w:rsid w:val="00C8459A"/>
    <w:rsid w:val="00D24512"/>
    <w:rsid w:val="00D35EF6"/>
    <w:rsid w:val="00E00207"/>
    <w:rsid w:val="00F832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0A9F1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43B1"/>
  </w:style>
  <w:style w:type="paragraph" w:styleId="Header">
    <w:name w:val="header"/>
    <w:basedOn w:val="Normal"/>
    <w:link w:val="HeaderChar"/>
    <w:uiPriority w:val="99"/>
    <w:unhideWhenUsed/>
    <w:rsid w:val="005143B1"/>
    <w:pPr>
      <w:tabs>
        <w:tab w:val="center" w:pos="4680"/>
        <w:tab w:val="right" w:pos="9360"/>
      </w:tabs>
    </w:pPr>
    <w:rPr>
      <w:rFonts w:eastAsiaTheme="minorHAnsi"/>
      <w:lang w:eastAsia="en-US"/>
    </w:rPr>
  </w:style>
  <w:style w:type="character" w:customStyle="1" w:styleId="HeaderChar">
    <w:name w:val="Header Char"/>
    <w:basedOn w:val="DefaultParagraphFont"/>
    <w:link w:val="Header"/>
    <w:uiPriority w:val="99"/>
    <w:rsid w:val="005143B1"/>
    <w:rPr>
      <w:rFonts w:eastAsiaTheme="minorHAnsi"/>
      <w:lang w:eastAsia="en-US"/>
    </w:rPr>
  </w:style>
  <w:style w:type="character" w:styleId="Hyperlink">
    <w:name w:val="Hyperlink"/>
    <w:basedOn w:val="DefaultParagraphFont"/>
    <w:uiPriority w:val="99"/>
    <w:unhideWhenUsed/>
    <w:rsid w:val="005143B1"/>
    <w:rPr>
      <w:color w:val="0563C1" w:themeColor="hyperlink"/>
      <w:u w:val="single"/>
    </w:rPr>
  </w:style>
  <w:style w:type="paragraph" w:styleId="Footer">
    <w:name w:val="footer"/>
    <w:basedOn w:val="Normal"/>
    <w:link w:val="FooterChar"/>
    <w:uiPriority w:val="99"/>
    <w:unhideWhenUsed/>
    <w:rsid w:val="00984D57"/>
    <w:pPr>
      <w:tabs>
        <w:tab w:val="center" w:pos="4680"/>
        <w:tab w:val="right" w:pos="9360"/>
      </w:tabs>
    </w:pPr>
  </w:style>
  <w:style w:type="character" w:customStyle="1" w:styleId="FooterChar">
    <w:name w:val="Footer Char"/>
    <w:basedOn w:val="DefaultParagraphFont"/>
    <w:link w:val="Footer"/>
    <w:uiPriority w:val="99"/>
    <w:rsid w:val="00984D57"/>
  </w:style>
  <w:style w:type="character" w:styleId="FollowedHyperlink">
    <w:name w:val="FollowedHyperlink"/>
    <w:basedOn w:val="DefaultParagraphFont"/>
    <w:uiPriority w:val="99"/>
    <w:semiHidden/>
    <w:unhideWhenUsed/>
    <w:rsid w:val="00D35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78216">
      <w:bodyDiv w:val="1"/>
      <w:marLeft w:val="0"/>
      <w:marRight w:val="0"/>
      <w:marTop w:val="0"/>
      <w:marBottom w:val="0"/>
      <w:divBdr>
        <w:top w:val="none" w:sz="0" w:space="0" w:color="auto"/>
        <w:left w:val="none" w:sz="0" w:space="0" w:color="auto"/>
        <w:bottom w:val="none" w:sz="0" w:space="0" w:color="auto"/>
        <w:right w:val="none" w:sz="0" w:space="0" w:color="auto"/>
      </w:divBdr>
    </w:div>
    <w:div w:id="620114760">
      <w:bodyDiv w:val="1"/>
      <w:marLeft w:val="0"/>
      <w:marRight w:val="0"/>
      <w:marTop w:val="0"/>
      <w:marBottom w:val="0"/>
      <w:divBdr>
        <w:top w:val="none" w:sz="0" w:space="0" w:color="auto"/>
        <w:left w:val="none" w:sz="0" w:space="0" w:color="auto"/>
        <w:bottom w:val="none" w:sz="0" w:space="0" w:color="auto"/>
        <w:right w:val="none" w:sz="0" w:space="0" w:color="auto"/>
      </w:divBdr>
      <w:divsChild>
        <w:div w:id="419915717">
          <w:marLeft w:val="0"/>
          <w:marRight w:val="0"/>
          <w:marTop w:val="0"/>
          <w:marBottom w:val="0"/>
          <w:divBdr>
            <w:top w:val="none" w:sz="0" w:space="0" w:color="auto"/>
            <w:left w:val="none" w:sz="0" w:space="0" w:color="auto"/>
            <w:bottom w:val="none" w:sz="0" w:space="0" w:color="auto"/>
            <w:right w:val="none" w:sz="0" w:space="0" w:color="auto"/>
          </w:divBdr>
        </w:div>
        <w:div w:id="416631693">
          <w:marLeft w:val="0"/>
          <w:marRight w:val="0"/>
          <w:marTop w:val="0"/>
          <w:marBottom w:val="0"/>
          <w:divBdr>
            <w:top w:val="none" w:sz="0" w:space="0" w:color="auto"/>
            <w:left w:val="none" w:sz="0" w:space="0" w:color="auto"/>
            <w:bottom w:val="none" w:sz="0" w:space="0" w:color="auto"/>
            <w:right w:val="none" w:sz="0" w:space="0" w:color="auto"/>
          </w:divBdr>
        </w:div>
        <w:div w:id="149373639">
          <w:marLeft w:val="0"/>
          <w:marRight w:val="0"/>
          <w:marTop w:val="0"/>
          <w:marBottom w:val="0"/>
          <w:divBdr>
            <w:top w:val="none" w:sz="0" w:space="0" w:color="auto"/>
            <w:left w:val="none" w:sz="0" w:space="0" w:color="auto"/>
            <w:bottom w:val="none" w:sz="0" w:space="0" w:color="auto"/>
            <w:right w:val="none" w:sz="0" w:space="0" w:color="auto"/>
          </w:divBdr>
        </w:div>
        <w:div w:id="1874801566">
          <w:marLeft w:val="0"/>
          <w:marRight w:val="0"/>
          <w:marTop w:val="0"/>
          <w:marBottom w:val="0"/>
          <w:divBdr>
            <w:top w:val="none" w:sz="0" w:space="0" w:color="auto"/>
            <w:left w:val="none" w:sz="0" w:space="0" w:color="auto"/>
            <w:bottom w:val="none" w:sz="0" w:space="0" w:color="auto"/>
            <w:right w:val="none" w:sz="0" w:space="0" w:color="auto"/>
          </w:divBdr>
        </w:div>
        <w:div w:id="1432124882">
          <w:marLeft w:val="0"/>
          <w:marRight w:val="0"/>
          <w:marTop w:val="0"/>
          <w:marBottom w:val="0"/>
          <w:divBdr>
            <w:top w:val="none" w:sz="0" w:space="0" w:color="auto"/>
            <w:left w:val="none" w:sz="0" w:space="0" w:color="auto"/>
            <w:bottom w:val="none" w:sz="0" w:space="0" w:color="auto"/>
            <w:right w:val="none" w:sz="0" w:space="0" w:color="auto"/>
          </w:divBdr>
        </w:div>
        <w:div w:id="33048726">
          <w:marLeft w:val="0"/>
          <w:marRight w:val="0"/>
          <w:marTop w:val="0"/>
          <w:marBottom w:val="0"/>
          <w:divBdr>
            <w:top w:val="none" w:sz="0" w:space="0" w:color="auto"/>
            <w:left w:val="none" w:sz="0" w:space="0" w:color="auto"/>
            <w:bottom w:val="none" w:sz="0" w:space="0" w:color="auto"/>
            <w:right w:val="none" w:sz="0" w:space="0" w:color="auto"/>
          </w:divBdr>
        </w:div>
        <w:div w:id="1016035080">
          <w:marLeft w:val="0"/>
          <w:marRight w:val="0"/>
          <w:marTop w:val="0"/>
          <w:marBottom w:val="0"/>
          <w:divBdr>
            <w:top w:val="none" w:sz="0" w:space="0" w:color="auto"/>
            <w:left w:val="none" w:sz="0" w:space="0" w:color="auto"/>
            <w:bottom w:val="none" w:sz="0" w:space="0" w:color="auto"/>
            <w:right w:val="none" w:sz="0" w:space="0" w:color="auto"/>
          </w:divBdr>
        </w:div>
        <w:div w:id="470370047">
          <w:marLeft w:val="0"/>
          <w:marRight w:val="0"/>
          <w:marTop w:val="0"/>
          <w:marBottom w:val="0"/>
          <w:divBdr>
            <w:top w:val="none" w:sz="0" w:space="0" w:color="auto"/>
            <w:left w:val="none" w:sz="0" w:space="0" w:color="auto"/>
            <w:bottom w:val="none" w:sz="0" w:space="0" w:color="auto"/>
            <w:right w:val="none" w:sz="0" w:space="0" w:color="auto"/>
          </w:divBdr>
        </w:div>
        <w:div w:id="1301417563">
          <w:marLeft w:val="0"/>
          <w:marRight w:val="0"/>
          <w:marTop w:val="0"/>
          <w:marBottom w:val="0"/>
          <w:divBdr>
            <w:top w:val="none" w:sz="0" w:space="0" w:color="auto"/>
            <w:left w:val="none" w:sz="0" w:space="0" w:color="auto"/>
            <w:bottom w:val="none" w:sz="0" w:space="0" w:color="auto"/>
            <w:right w:val="none" w:sz="0" w:space="0" w:color="auto"/>
          </w:divBdr>
        </w:div>
        <w:div w:id="119473006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tonegatesl.com/" TargetMode="External"/><Relationship Id="rId7" Type="http://schemas.openxmlformats.org/officeDocument/2006/relationships/hyperlink" Target="mailto:tvreeland@promoteonpurpose.com" TargetMode="External"/><Relationship Id="rId8" Type="http://schemas.openxmlformats.org/officeDocument/2006/relationships/hyperlink" Target="mailto:ampetersen@promoteonpurpose.com" TargetMode="External"/><Relationship Id="rId9" Type="http://schemas.openxmlformats.org/officeDocument/2006/relationships/hyperlink" Target="http://stonegatesl.com/" TargetMode="External"/><Relationship Id="rId10" Type="http://schemas.openxmlformats.org/officeDocument/2006/relationships/hyperlink" Target="http://www.StonegateS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607</Words>
  <Characters>3462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Vreeland</dc:creator>
  <cp:keywords/>
  <dc:description/>
  <cp:lastModifiedBy>Tara Vreeland</cp:lastModifiedBy>
  <cp:revision>4</cp:revision>
  <dcterms:created xsi:type="dcterms:W3CDTF">2017-03-07T14:52:00Z</dcterms:created>
  <dcterms:modified xsi:type="dcterms:W3CDTF">2017-03-09T15:49:00Z</dcterms:modified>
</cp:coreProperties>
</file>