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A05F" w14:textId="589454D5" w:rsidR="00926B50" w:rsidRDefault="002D4AC7" w:rsidP="00F11518">
      <w:pPr>
        <w:spacing w:after="0"/>
        <w:jc w:val="center"/>
        <w:rPr>
          <w:b/>
          <w:sz w:val="32"/>
        </w:rPr>
      </w:pPr>
      <w:bookmarkStart w:id="0" w:name="_GoBack"/>
      <w:bookmarkEnd w:id="0"/>
      <w:r w:rsidRPr="002D4AC7">
        <w:rPr>
          <w:b/>
          <w:sz w:val="32"/>
        </w:rPr>
        <w:t xml:space="preserve"> </w:t>
      </w:r>
      <w:r>
        <w:rPr>
          <w:b/>
          <w:sz w:val="32"/>
        </w:rPr>
        <w:t xml:space="preserve">The New </w:t>
      </w:r>
      <w:r w:rsidR="00663289">
        <w:rPr>
          <w:b/>
          <w:sz w:val="32"/>
        </w:rPr>
        <w:t>Dining</w:t>
      </w:r>
      <w:r w:rsidR="00902A1E">
        <w:rPr>
          <w:b/>
          <w:sz w:val="32"/>
        </w:rPr>
        <w:t xml:space="preserve"> </w:t>
      </w:r>
      <w:r>
        <w:rPr>
          <w:b/>
          <w:sz w:val="32"/>
        </w:rPr>
        <w:t>Advantage</w:t>
      </w:r>
      <w:r>
        <w:rPr>
          <w:rFonts w:cstheme="minorHAnsi"/>
          <w:b/>
          <w:sz w:val="32"/>
        </w:rPr>
        <w:t>®</w:t>
      </w:r>
      <w:r w:rsidR="00264924">
        <w:rPr>
          <w:rFonts w:cstheme="minorHAnsi"/>
          <w:b/>
          <w:sz w:val="32"/>
        </w:rPr>
        <w:t xml:space="preserve"> </w:t>
      </w:r>
      <w:r w:rsidR="009833F5">
        <w:rPr>
          <w:b/>
          <w:sz w:val="32"/>
        </w:rPr>
        <w:t>G</w:t>
      </w:r>
      <w:r w:rsidR="008F5ABF" w:rsidRPr="008F5ABF">
        <w:rPr>
          <w:b/>
          <w:sz w:val="32"/>
        </w:rPr>
        <w:t xml:space="preserve">ift </w:t>
      </w:r>
      <w:r w:rsidR="009833F5">
        <w:rPr>
          <w:b/>
          <w:sz w:val="32"/>
        </w:rPr>
        <w:t>C</w:t>
      </w:r>
      <w:r w:rsidR="008F5ABF" w:rsidRPr="008F5ABF">
        <w:rPr>
          <w:b/>
          <w:sz w:val="32"/>
        </w:rPr>
        <w:t xml:space="preserve">ard </w:t>
      </w:r>
      <w:r w:rsidR="00264924">
        <w:rPr>
          <w:rFonts w:cstheme="minorHAnsi"/>
          <w:b/>
          <w:sz w:val="32"/>
        </w:rPr>
        <w:t xml:space="preserve">by </w:t>
      </w:r>
      <w:r w:rsidR="00264924" w:rsidRPr="008F5ABF">
        <w:rPr>
          <w:b/>
          <w:sz w:val="32"/>
        </w:rPr>
        <w:t>Entertainment</w:t>
      </w:r>
      <w:r w:rsidR="00196B0C" w:rsidRPr="008F5ABF">
        <w:rPr>
          <w:b/>
          <w:sz w:val="32"/>
        </w:rPr>
        <w:t>®</w:t>
      </w:r>
      <w:r w:rsidR="00196B0C">
        <w:rPr>
          <w:b/>
          <w:sz w:val="32"/>
        </w:rPr>
        <w:t xml:space="preserve"> Empowers</w:t>
      </w:r>
      <w:r>
        <w:rPr>
          <w:b/>
          <w:sz w:val="32"/>
        </w:rPr>
        <w:t xml:space="preserve"> Marketers to Reward, Acquire and Retain Customers with </w:t>
      </w:r>
      <w:r w:rsidR="002870D7">
        <w:rPr>
          <w:b/>
          <w:sz w:val="32"/>
        </w:rPr>
        <w:t>Nearly</w:t>
      </w:r>
      <w:r w:rsidR="00365A4A">
        <w:rPr>
          <w:b/>
          <w:sz w:val="32"/>
        </w:rPr>
        <w:t xml:space="preserve"> 120,000 </w:t>
      </w:r>
      <w:r w:rsidR="00034126">
        <w:rPr>
          <w:b/>
          <w:sz w:val="32"/>
        </w:rPr>
        <w:t xml:space="preserve">Valuable Offers at </w:t>
      </w:r>
      <w:r w:rsidR="00365A4A">
        <w:rPr>
          <w:b/>
          <w:sz w:val="32"/>
        </w:rPr>
        <w:t>Restaurants Across the U.S. and Canada</w:t>
      </w:r>
      <w:r>
        <w:rPr>
          <w:b/>
          <w:sz w:val="32"/>
        </w:rPr>
        <w:t xml:space="preserve"> </w:t>
      </w:r>
    </w:p>
    <w:p w14:paraId="37C0EF2E" w14:textId="77777777" w:rsidR="00365A4A" w:rsidRDefault="00365A4A" w:rsidP="00F0705E">
      <w:pPr>
        <w:rPr>
          <w:b/>
        </w:rPr>
      </w:pPr>
    </w:p>
    <w:p w14:paraId="743BA52A" w14:textId="33847B0A" w:rsidR="00AB189C" w:rsidRDefault="00BF3F22" w:rsidP="00F0705E">
      <w:pPr>
        <w:rPr>
          <w:rFonts w:cstheme="minorHAnsi"/>
        </w:rPr>
      </w:pPr>
      <w:r>
        <w:rPr>
          <w:b/>
        </w:rPr>
        <w:t xml:space="preserve">Troy, MI, </w:t>
      </w:r>
      <w:r w:rsidR="00A91ED4" w:rsidRPr="008E6D08">
        <w:rPr>
          <w:b/>
        </w:rPr>
        <w:t>May</w:t>
      </w:r>
      <w:r w:rsidRPr="008E6D08">
        <w:rPr>
          <w:b/>
        </w:rPr>
        <w:t xml:space="preserve"> </w:t>
      </w:r>
      <w:r w:rsidR="008E6D08" w:rsidRPr="008E6D08">
        <w:rPr>
          <w:b/>
        </w:rPr>
        <w:t>22</w:t>
      </w:r>
      <w:r w:rsidR="00CC73F4" w:rsidRPr="008E6D08">
        <w:rPr>
          <w:b/>
        </w:rPr>
        <w:t>, 201</w:t>
      </w:r>
      <w:r w:rsidR="00310235" w:rsidRPr="008E6D08">
        <w:rPr>
          <w:b/>
        </w:rPr>
        <w:t>7</w:t>
      </w:r>
      <w:r w:rsidR="00CC73F4">
        <w:rPr>
          <w:b/>
        </w:rPr>
        <w:t xml:space="preserve"> – </w:t>
      </w:r>
      <w:r w:rsidR="008478BA">
        <w:t xml:space="preserve">With </w:t>
      </w:r>
      <w:r w:rsidR="004A3150">
        <w:t>consumers’</w:t>
      </w:r>
      <w:r w:rsidR="00FA50B2">
        <w:t xml:space="preserve"> passion for food and eating out at an all-time high</w:t>
      </w:r>
      <w:r w:rsidR="00263C3E">
        <w:t>,</w:t>
      </w:r>
      <w:r w:rsidR="00F5686B">
        <w:t xml:space="preserve"> </w:t>
      </w:r>
      <w:r w:rsidR="00175682">
        <w:t>Entertainment</w:t>
      </w:r>
      <w:r w:rsidR="00AB584D">
        <w:rPr>
          <w:rFonts w:cstheme="minorHAnsi"/>
        </w:rPr>
        <w:t>®</w:t>
      </w:r>
      <w:r w:rsidR="00F5686B">
        <w:rPr>
          <w:rFonts w:cstheme="minorHAnsi"/>
        </w:rPr>
        <w:t xml:space="preserve"> </w:t>
      </w:r>
      <w:r w:rsidR="00FA50B2">
        <w:rPr>
          <w:rFonts w:cstheme="minorHAnsi"/>
        </w:rPr>
        <w:t xml:space="preserve">launches </w:t>
      </w:r>
      <w:r w:rsidR="00153308">
        <w:rPr>
          <w:rFonts w:cstheme="minorHAnsi"/>
        </w:rPr>
        <w:t>the</w:t>
      </w:r>
      <w:r w:rsidR="00544893">
        <w:rPr>
          <w:rFonts w:cstheme="minorHAnsi"/>
        </w:rPr>
        <w:t xml:space="preserve"> new</w:t>
      </w:r>
      <w:r w:rsidR="00445B65">
        <w:rPr>
          <w:rFonts w:cstheme="minorHAnsi"/>
        </w:rPr>
        <w:t xml:space="preserve"> </w:t>
      </w:r>
      <w:hyperlink r:id="rId9" w:history="1">
        <w:r w:rsidR="00445B65" w:rsidRPr="005E6788">
          <w:rPr>
            <w:rStyle w:val="Hyperlink"/>
            <w:rFonts w:cstheme="minorHAnsi"/>
          </w:rPr>
          <w:t>D</w:t>
        </w:r>
        <w:r w:rsidR="00041EA6" w:rsidRPr="005E6788">
          <w:rPr>
            <w:rStyle w:val="Hyperlink"/>
          </w:rPr>
          <w:t>ining Advantage®</w:t>
        </w:r>
      </w:hyperlink>
      <w:r w:rsidR="00041EA6" w:rsidRPr="00FD4145">
        <w:rPr>
          <w:color w:val="5B9BD5" w:themeColor="accent1"/>
        </w:rPr>
        <w:t xml:space="preserve"> </w:t>
      </w:r>
      <w:r w:rsidR="00544893">
        <w:rPr>
          <w:rFonts w:cstheme="minorHAnsi"/>
        </w:rPr>
        <w:t>program</w:t>
      </w:r>
      <w:r w:rsidR="00FA50B2">
        <w:rPr>
          <w:rFonts w:cstheme="minorHAnsi"/>
        </w:rPr>
        <w:t>,</w:t>
      </w:r>
      <w:r w:rsidR="00544893">
        <w:rPr>
          <w:rFonts w:cstheme="minorHAnsi"/>
        </w:rPr>
        <w:t xml:space="preserve"> offer</w:t>
      </w:r>
      <w:r w:rsidR="00FA50B2">
        <w:rPr>
          <w:rFonts w:cstheme="minorHAnsi"/>
        </w:rPr>
        <w:t>ing marketers</w:t>
      </w:r>
      <w:r w:rsidR="00152E09">
        <w:rPr>
          <w:rFonts w:cstheme="minorHAnsi"/>
        </w:rPr>
        <w:t xml:space="preserve"> promotional</w:t>
      </w:r>
      <w:r w:rsidR="0079213E">
        <w:rPr>
          <w:rFonts w:cstheme="minorHAnsi"/>
        </w:rPr>
        <w:t xml:space="preserve"> </w:t>
      </w:r>
      <w:r w:rsidR="00AA399B">
        <w:rPr>
          <w:rFonts w:cstheme="minorHAnsi"/>
        </w:rPr>
        <w:t xml:space="preserve">gift cards </w:t>
      </w:r>
      <w:r w:rsidR="00FE179B">
        <w:rPr>
          <w:rFonts w:cstheme="minorHAnsi"/>
        </w:rPr>
        <w:t>for</w:t>
      </w:r>
      <w:r w:rsidR="00E67EEE">
        <w:rPr>
          <w:rFonts w:cstheme="minorHAnsi"/>
        </w:rPr>
        <w:t xml:space="preserve"> nearly</w:t>
      </w:r>
      <w:r w:rsidR="00445B65">
        <w:rPr>
          <w:rFonts w:cstheme="minorHAnsi"/>
        </w:rPr>
        <w:t xml:space="preserve"> </w:t>
      </w:r>
      <w:r w:rsidR="00953F0A">
        <w:rPr>
          <w:rFonts w:cstheme="minorHAnsi"/>
        </w:rPr>
        <w:t>1</w:t>
      </w:r>
      <w:r w:rsidR="00E67EEE">
        <w:rPr>
          <w:rFonts w:cstheme="minorHAnsi"/>
        </w:rPr>
        <w:t>2</w:t>
      </w:r>
      <w:r w:rsidR="00953F0A">
        <w:rPr>
          <w:rFonts w:cstheme="minorHAnsi"/>
        </w:rPr>
        <w:t xml:space="preserve">0,000 </w:t>
      </w:r>
      <w:r w:rsidR="00445B65">
        <w:rPr>
          <w:rFonts w:cstheme="minorHAnsi"/>
        </w:rPr>
        <w:t>discounts</w:t>
      </w:r>
      <w:r w:rsidR="00953F0A">
        <w:rPr>
          <w:rFonts w:cstheme="minorHAnsi"/>
        </w:rPr>
        <w:t xml:space="preserve"> a</w:t>
      </w:r>
      <w:r w:rsidR="00FE179B">
        <w:rPr>
          <w:rFonts w:cstheme="minorHAnsi"/>
        </w:rPr>
        <w:t>t</w:t>
      </w:r>
      <w:r w:rsidR="0063577A">
        <w:rPr>
          <w:rFonts w:cstheme="minorHAnsi"/>
        </w:rPr>
        <w:t xml:space="preserve"> national and local restaurants</w:t>
      </w:r>
      <w:r w:rsidR="00FE179B">
        <w:rPr>
          <w:rFonts w:cstheme="minorHAnsi"/>
        </w:rPr>
        <w:t xml:space="preserve"> across the U.S. and Canada</w:t>
      </w:r>
      <w:r w:rsidR="00445B65">
        <w:rPr>
          <w:rFonts w:cstheme="minorHAnsi"/>
        </w:rPr>
        <w:t xml:space="preserve"> </w:t>
      </w:r>
      <w:r w:rsidR="00834322">
        <w:rPr>
          <w:rFonts w:cstheme="minorHAnsi"/>
        </w:rPr>
        <w:t xml:space="preserve">– </w:t>
      </w:r>
      <w:r w:rsidR="00FA50B2">
        <w:rPr>
          <w:rFonts w:cstheme="minorHAnsi"/>
        </w:rPr>
        <w:t>a</w:t>
      </w:r>
      <w:r w:rsidR="0063577A">
        <w:rPr>
          <w:rFonts w:cstheme="minorHAnsi"/>
        </w:rPr>
        <w:t>t</w:t>
      </w:r>
      <w:r w:rsidR="006E136B">
        <w:rPr>
          <w:rFonts w:cstheme="minorHAnsi"/>
        </w:rPr>
        <w:t xml:space="preserve"> a</w:t>
      </w:r>
      <w:r w:rsidR="00FA50B2">
        <w:rPr>
          <w:rFonts w:cstheme="minorHAnsi"/>
        </w:rPr>
        <w:t xml:space="preserve"> fraction of the cost of regular gift cards.</w:t>
      </w:r>
      <w:r w:rsidR="00544893">
        <w:rPr>
          <w:rFonts w:cstheme="minorHAnsi"/>
        </w:rPr>
        <w:t xml:space="preserve"> </w:t>
      </w:r>
      <w:r w:rsidR="002870D7">
        <w:rPr>
          <w:rFonts w:cstheme="minorHAnsi"/>
        </w:rPr>
        <w:t>These offers can be redeemed by consumers via the Dining Advantage</w:t>
      </w:r>
      <w:r w:rsidR="00982EFD">
        <w:rPr>
          <w:rFonts w:cstheme="minorHAnsi"/>
        </w:rPr>
        <w:t>®</w:t>
      </w:r>
      <w:r w:rsidR="002870D7">
        <w:rPr>
          <w:rFonts w:cstheme="minorHAnsi"/>
        </w:rPr>
        <w:t xml:space="preserve"> mobile app or at DiningAdvantage.com.  </w:t>
      </w:r>
    </w:p>
    <w:p w14:paraId="2F3C25C2" w14:textId="7557388F" w:rsidR="00F96740" w:rsidRDefault="00940C6A" w:rsidP="00BD67CE">
      <w:pPr>
        <w:rPr>
          <w:rFonts w:cstheme="minorHAnsi"/>
        </w:rPr>
      </w:pPr>
      <w:r>
        <w:t>U</w:t>
      </w:r>
      <w:r w:rsidR="00263C3E">
        <w:rPr>
          <w:rFonts w:cstheme="minorHAnsi"/>
        </w:rPr>
        <w:t xml:space="preserve">nlike </w:t>
      </w:r>
      <w:r w:rsidR="00926B50">
        <w:rPr>
          <w:rFonts w:cstheme="minorHAnsi"/>
        </w:rPr>
        <w:t>most</w:t>
      </w:r>
      <w:r w:rsidR="00263C3E">
        <w:rPr>
          <w:rFonts w:cstheme="minorHAnsi"/>
        </w:rPr>
        <w:t xml:space="preserve"> gift cards</w:t>
      </w:r>
      <w:r w:rsidR="00834322">
        <w:rPr>
          <w:rFonts w:cstheme="minorHAnsi"/>
        </w:rPr>
        <w:t>, which can only be used at one restaurant</w:t>
      </w:r>
      <w:r w:rsidR="00926B50">
        <w:rPr>
          <w:rFonts w:cstheme="minorHAnsi"/>
        </w:rPr>
        <w:t xml:space="preserve">, </w:t>
      </w:r>
      <w:r w:rsidR="00AF26FC">
        <w:rPr>
          <w:rFonts w:cstheme="minorHAnsi"/>
        </w:rPr>
        <w:t>these</w:t>
      </w:r>
      <w:r>
        <w:rPr>
          <w:rFonts w:cstheme="minorHAnsi"/>
        </w:rPr>
        <w:t xml:space="preserve"> new </w:t>
      </w:r>
      <w:r w:rsidR="002870D7">
        <w:rPr>
          <w:rFonts w:cstheme="minorHAnsi"/>
        </w:rPr>
        <w:t>promotional</w:t>
      </w:r>
      <w:r w:rsidR="0079213E">
        <w:rPr>
          <w:rFonts w:cstheme="minorHAnsi"/>
        </w:rPr>
        <w:t xml:space="preserve"> </w:t>
      </w:r>
      <w:r w:rsidR="00544893">
        <w:rPr>
          <w:rFonts w:cstheme="minorHAnsi"/>
        </w:rPr>
        <w:t xml:space="preserve">gift cards </w:t>
      </w:r>
      <w:r w:rsidR="00AF26FC">
        <w:rPr>
          <w:rFonts w:cstheme="minorHAnsi"/>
        </w:rPr>
        <w:t xml:space="preserve">can be </w:t>
      </w:r>
      <w:r w:rsidR="00263C3E">
        <w:rPr>
          <w:rFonts w:cstheme="minorHAnsi"/>
        </w:rPr>
        <w:t>redeem</w:t>
      </w:r>
      <w:r w:rsidR="00AF26FC">
        <w:rPr>
          <w:rFonts w:cstheme="minorHAnsi"/>
        </w:rPr>
        <w:t>ed for deep discount</w:t>
      </w:r>
      <w:r w:rsidR="00C93208">
        <w:rPr>
          <w:rFonts w:cstheme="minorHAnsi"/>
        </w:rPr>
        <w:t>s</w:t>
      </w:r>
      <w:r w:rsidR="00AF26FC">
        <w:rPr>
          <w:rFonts w:cstheme="minorHAnsi"/>
        </w:rPr>
        <w:t xml:space="preserve"> </w:t>
      </w:r>
      <w:r w:rsidR="00263C3E">
        <w:rPr>
          <w:rFonts w:cstheme="minorHAnsi"/>
        </w:rPr>
        <w:t xml:space="preserve">at </w:t>
      </w:r>
      <w:r w:rsidR="00AF26FC">
        <w:rPr>
          <w:rFonts w:cstheme="minorHAnsi"/>
        </w:rPr>
        <w:t xml:space="preserve">a </w:t>
      </w:r>
      <w:r w:rsidR="00926B50">
        <w:rPr>
          <w:rFonts w:cstheme="minorHAnsi"/>
        </w:rPr>
        <w:t xml:space="preserve">broad selection of restaurants offering </w:t>
      </w:r>
      <w:r w:rsidR="00AF26FC">
        <w:rPr>
          <w:rFonts w:cstheme="minorHAnsi"/>
        </w:rPr>
        <w:t>customers</w:t>
      </w:r>
      <w:r w:rsidR="00DC0506">
        <w:rPr>
          <w:rFonts w:cstheme="minorHAnsi"/>
        </w:rPr>
        <w:t xml:space="preserve"> many choices</w:t>
      </w:r>
      <w:r w:rsidR="00834322">
        <w:rPr>
          <w:rFonts w:cstheme="minorHAnsi"/>
        </w:rPr>
        <w:t xml:space="preserve">, </w:t>
      </w:r>
      <w:r w:rsidR="00DC0506">
        <w:rPr>
          <w:rFonts w:cstheme="minorHAnsi"/>
        </w:rPr>
        <w:t>including their</w:t>
      </w:r>
      <w:r w:rsidR="00AF26FC">
        <w:rPr>
          <w:rFonts w:cstheme="minorHAnsi"/>
        </w:rPr>
        <w:t xml:space="preserve"> favorite local eatery or the new hot spot</w:t>
      </w:r>
      <w:r w:rsidR="009F2A7C">
        <w:rPr>
          <w:rFonts w:cstheme="minorHAnsi"/>
        </w:rPr>
        <w:t xml:space="preserve">. </w:t>
      </w:r>
      <w:r w:rsidR="00C93208">
        <w:rPr>
          <w:rFonts w:cstheme="minorHAnsi"/>
        </w:rPr>
        <w:t>C</w:t>
      </w:r>
      <w:r>
        <w:rPr>
          <w:rFonts w:cstheme="minorHAnsi"/>
        </w:rPr>
        <w:t>onsumers</w:t>
      </w:r>
      <w:r w:rsidR="00AF26FC">
        <w:rPr>
          <w:rFonts w:cstheme="minorHAnsi"/>
        </w:rPr>
        <w:t xml:space="preserve"> </w:t>
      </w:r>
      <w:r w:rsidR="00C93208">
        <w:rPr>
          <w:rFonts w:cstheme="minorHAnsi"/>
        </w:rPr>
        <w:t xml:space="preserve">can save </w:t>
      </w:r>
      <w:r w:rsidR="00AF26FC">
        <w:rPr>
          <w:rFonts w:cstheme="minorHAnsi"/>
        </w:rPr>
        <w:t xml:space="preserve">up to 50 percent off </w:t>
      </w:r>
      <w:r>
        <w:rPr>
          <w:rFonts w:cstheme="minorHAnsi"/>
        </w:rPr>
        <w:t xml:space="preserve">a meal </w:t>
      </w:r>
      <w:r w:rsidR="00AF26FC">
        <w:rPr>
          <w:rFonts w:cstheme="minorHAnsi"/>
        </w:rPr>
        <w:t xml:space="preserve">or </w:t>
      </w:r>
      <w:r w:rsidR="00C93208">
        <w:rPr>
          <w:rFonts w:cstheme="minorHAnsi"/>
        </w:rPr>
        <w:t>get</w:t>
      </w:r>
      <w:r>
        <w:rPr>
          <w:rFonts w:cstheme="minorHAnsi"/>
        </w:rPr>
        <w:t xml:space="preserve"> a </w:t>
      </w:r>
      <w:r w:rsidR="00CD6472">
        <w:rPr>
          <w:rFonts w:cstheme="minorHAnsi"/>
        </w:rPr>
        <w:t>two-for-one</w:t>
      </w:r>
      <w:r w:rsidR="00AF26FC">
        <w:rPr>
          <w:rFonts w:cstheme="minorHAnsi"/>
        </w:rPr>
        <w:t xml:space="preserve"> deal.</w:t>
      </w:r>
      <w:r w:rsidR="00263C3E">
        <w:rPr>
          <w:rFonts w:cstheme="minorHAnsi"/>
        </w:rPr>
        <w:t xml:space="preserve"> </w:t>
      </w:r>
    </w:p>
    <w:p w14:paraId="318153BA" w14:textId="16470470" w:rsidR="00BD67CE" w:rsidRDefault="00AE204E" w:rsidP="00BD67CE">
      <w:pPr>
        <w:rPr>
          <w:rFonts w:cstheme="minorHAnsi"/>
        </w:rPr>
      </w:pPr>
      <w:r>
        <w:rPr>
          <w:rFonts w:cstheme="minorHAnsi"/>
        </w:rPr>
        <w:t>It’s clear people love the convenience of dining out. In fact, s</w:t>
      </w:r>
      <w:r w:rsidR="00F96740">
        <w:rPr>
          <w:rFonts w:cstheme="minorHAnsi"/>
        </w:rPr>
        <w:t xml:space="preserve">ix in 10 Americans </w:t>
      </w:r>
      <w:r w:rsidR="007E5B2A">
        <w:rPr>
          <w:rFonts w:cstheme="minorHAnsi"/>
        </w:rPr>
        <w:t xml:space="preserve">eat dinner out </w:t>
      </w:r>
      <w:r w:rsidR="00F96740">
        <w:rPr>
          <w:rFonts w:cstheme="minorHAnsi"/>
        </w:rPr>
        <w:t>once a week</w:t>
      </w:r>
      <w:r w:rsidR="00CD6472">
        <w:rPr>
          <w:rFonts w:cstheme="minorHAnsi"/>
        </w:rPr>
        <w:t xml:space="preserve">, and among </w:t>
      </w:r>
      <w:r w:rsidR="00F96740">
        <w:rPr>
          <w:rFonts w:cstheme="minorHAnsi"/>
        </w:rPr>
        <w:t>the 18-</w:t>
      </w:r>
      <w:r w:rsidR="00CD6472">
        <w:rPr>
          <w:rFonts w:cstheme="minorHAnsi"/>
        </w:rPr>
        <w:t>to-35-</w:t>
      </w:r>
      <w:r w:rsidR="00F96740">
        <w:rPr>
          <w:rFonts w:cstheme="minorHAnsi"/>
        </w:rPr>
        <w:t>y</w:t>
      </w:r>
      <w:r>
        <w:rPr>
          <w:rFonts w:cstheme="minorHAnsi"/>
        </w:rPr>
        <w:t>ear-old crowd, that number</w:t>
      </w:r>
      <w:r w:rsidR="00CD6472">
        <w:rPr>
          <w:rFonts w:cstheme="minorHAnsi"/>
        </w:rPr>
        <w:t xml:space="preserve"> increases to seven</w:t>
      </w:r>
      <w:r w:rsidR="00F96740">
        <w:rPr>
          <w:rFonts w:cstheme="minorHAnsi"/>
        </w:rPr>
        <w:t xml:space="preserve"> in 10, a recent </w:t>
      </w:r>
      <w:hyperlink r:id="rId10" w:history="1">
        <w:r w:rsidR="00F96740" w:rsidRPr="00AA48B3">
          <w:rPr>
            <w:rStyle w:val="Hyperlink"/>
            <w:rFonts w:cstheme="minorHAnsi"/>
          </w:rPr>
          <w:t>Gallup poll</w:t>
        </w:r>
      </w:hyperlink>
      <w:r w:rsidR="00F96740">
        <w:rPr>
          <w:rFonts w:cstheme="minorHAnsi"/>
        </w:rPr>
        <w:t xml:space="preserve"> reported. </w:t>
      </w:r>
      <w:r w:rsidR="009E19E6">
        <w:rPr>
          <w:rFonts w:cstheme="minorHAnsi"/>
        </w:rPr>
        <w:t xml:space="preserve"> </w:t>
      </w:r>
    </w:p>
    <w:p w14:paraId="4975CEA7" w14:textId="1BA9874B" w:rsidR="004915A6" w:rsidRDefault="00B00ADE" w:rsidP="00B00ADE">
      <w:pPr>
        <w:rPr>
          <w:rFonts w:cstheme="minorHAnsi"/>
        </w:rPr>
      </w:pPr>
      <w:r>
        <w:rPr>
          <w:rFonts w:cstheme="minorHAnsi"/>
        </w:rPr>
        <w:t xml:space="preserve">“If there’s one thing people love more than dining out, it’s </w:t>
      </w:r>
      <w:r w:rsidR="00F96740">
        <w:rPr>
          <w:rFonts w:cstheme="minorHAnsi"/>
        </w:rPr>
        <w:t>saving money</w:t>
      </w:r>
      <w:r>
        <w:rPr>
          <w:rFonts w:cstheme="minorHAnsi"/>
        </w:rPr>
        <w:t xml:space="preserve">,” said </w:t>
      </w:r>
      <w:r w:rsidR="009E19E6">
        <w:rPr>
          <w:rFonts w:cstheme="minorHAnsi"/>
        </w:rPr>
        <w:t>Jeanne Chapman, Executive Vice President at</w:t>
      </w:r>
      <w:r w:rsidR="009F2A7C">
        <w:rPr>
          <w:rFonts w:cstheme="minorHAnsi"/>
        </w:rPr>
        <w:t xml:space="preserve"> </w:t>
      </w:r>
      <w:r w:rsidR="00B82534">
        <w:rPr>
          <w:rFonts w:cstheme="minorHAnsi"/>
        </w:rPr>
        <w:t>Entertainment</w:t>
      </w:r>
      <w:r>
        <w:rPr>
          <w:rFonts w:cstheme="minorHAnsi"/>
        </w:rPr>
        <w:t xml:space="preserve">. “For companies that </w:t>
      </w:r>
      <w:r w:rsidR="009E19E6">
        <w:rPr>
          <w:rFonts w:cstheme="minorHAnsi"/>
        </w:rPr>
        <w:t xml:space="preserve">incorporate our promotional gifts cards into their incentive and rewards strategy, this is a great way to deliver rewards that are relevant to their entire audience.  </w:t>
      </w:r>
      <w:r w:rsidR="002533B1">
        <w:rPr>
          <w:rFonts w:cstheme="minorHAnsi"/>
        </w:rPr>
        <w:t>Today’</w:t>
      </w:r>
      <w:r w:rsidR="00BE724E">
        <w:rPr>
          <w:rFonts w:cstheme="minorHAnsi"/>
        </w:rPr>
        <w:t xml:space="preserve">s consumers expect choice, and when you give </w:t>
      </w:r>
      <w:r w:rsidR="009E19E6">
        <w:rPr>
          <w:rFonts w:cstheme="minorHAnsi"/>
        </w:rPr>
        <w:t>them</w:t>
      </w:r>
      <w:r w:rsidR="00834322">
        <w:rPr>
          <w:rFonts w:cstheme="minorHAnsi"/>
        </w:rPr>
        <w:t xml:space="preserve"> </w:t>
      </w:r>
      <w:r w:rsidR="00E67EEE">
        <w:rPr>
          <w:rFonts w:cstheme="minorHAnsi"/>
        </w:rPr>
        <w:t>nearly</w:t>
      </w:r>
      <w:r w:rsidR="00834322">
        <w:rPr>
          <w:rFonts w:cstheme="minorHAnsi"/>
        </w:rPr>
        <w:t xml:space="preserve"> </w:t>
      </w:r>
      <w:r w:rsidR="00BE6E78">
        <w:rPr>
          <w:rFonts w:cstheme="minorHAnsi"/>
        </w:rPr>
        <w:t>1</w:t>
      </w:r>
      <w:r w:rsidR="00E67EEE">
        <w:rPr>
          <w:rFonts w:cstheme="minorHAnsi"/>
        </w:rPr>
        <w:t>2</w:t>
      </w:r>
      <w:r w:rsidR="00BE6E78">
        <w:rPr>
          <w:rFonts w:cstheme="minorHAnsi"/>
        </w:rPr>
        <w:t>0,000</w:t>
      </w:r>
      <w:r w:rsidR="0079213E">
        <w:rPr>
          <w:rFonts w:cstheme="minorHAnsi"/>
        </w:rPr>
        <w:t xml:space="preserve"> </w:t>
      </w:r>
      <w:r w:rsidR="00BE6E78">
        <w:rPr>
          <w:rFonts w:cstheme="minorHAnsi"/>
        </w:rPr>
        <w:t xml:space="preserve">offers </w:t>
      </w:r>
      <w:r w:rsidR="009F2A7C">
        <w:rPr>
          <w:rFonts w:cstheme="minorHAnsi"/>
        </w:rPr>
        <w:t>to choose from</w:t>
      </w:r>
      <w:r w:rsidR="00BE6E78">
        <w:rPr>
          <w:rFonts w:cstheme="minorHAnsi"/>
        </w:rPr>
        <w:t xml:space="preserve"> at restaurants across the U.S. and Canada</w:t>
      </w:r>
      <w:r w:rsidR="00BE724E">
        <w:rPr>
          <w:rFonts w:cstheme="minorHAnsi"/>
        </w:rPr>
        <w:t xml:space="preserve">, </w:t>
      </w:r>
      <w:r w:rsidR="007211F5">
        <w:rPr>
          <w:rFonts w:cstheme="minorHAnsi"/>
        </w:rPr>
        <w:t>it’s a reward they’ll truly value.”</w:t>
      </w:r>
    </w:p>
    <w:p w14:paraId="31B16599" w14:textId="52D465D7" w:rsidR="009E19E6" w:rsidRPr="00E67EEE" w:rsidRDefault="007B4701" w:rsidP="00E67EEE">
      <w:pPr>
        <w:spacing w:after="0"/>
        <w:rPr>
          <w:rFonts w:cstheme="minorHAnsi"/>
          <w:b/>
        </w:rPr>
      </w:pPr>
      <w:r w:rsidRPr="00E67EEE">
        <w:rPr>
          <w:rFonts w:cstheme="minorHAnsi"/>
          <w:b/>
        </w:rPr>
        <w:t>Cost Effective</w:t>
      </w:r>
      <w:r w:rsidR="009E19E6" w:rsidRPr="00E67EEE">
        <w:rPr>
          <w:rFonts w:cstheme="minorHAnsi"/>
          <w:b/>
        </w:rPr>
        <w:t xml:space="preserve"> for Marketers</w:t>
      </w:r>
    </w:p>
    <w:p w14:paraId="7D93610A" w14:textId="431A6D08" w:rsidR="003A27AB" w:rsidRDefault="00BC57B8" w:rsidP="00E67EEE">
      <w:pPr>
        <w:spacing w:after="0"/>
        <w:rPr>
          <w:rFonts w:cstheme="minorHAnsi"/>
        </w:rPr>
      </w:pPr>
      <w:r w:rsidRPr="00BC57B8">
        <w:rPr>
          <w:rFonts w:cstheme="minorHAnsi"/>
        </w:rPr>
        <w:t>Dining Advantage</w:t>
      </w:r>
      <w:r w:rsidR="00982EFD">
        <w:rPr>
          <w:rFonts w:cstheme="minorHAnsi"/>
        </w:rPr>
        <w:t>®</w:t>
      </w:r>
      <w:r w:rsidRPr="00BC57B8">
        <w:rPr>
          <w:rFonts w:cstheme="minorHAnsi"/>
        </w:rPr>
        <w:t xml:space="preserve"> promotional gift cards are available in $25, $50, $100 and custom increments.</w:t>
      </w:r>
      <w:r>
        <w:rPr>
          <w:rFonts w:cstheme="minorHAnsi"/>
        </w:rPr>
        <w:t xml:space="preserve"> </w:t>
      </w:r>
      <w:r w:rsidR="00094086">
        <w:rPr>
          <w:rFonts w:cstheme="minorHAnsi"/>
        </w:rPr>
        <w:t xml:space="preserve">This </w:t>
      </w:r>
      <w:r w:rsidR="005A4F37">
        <w:rPr>
          <w:rFonts w:cstheme="minorHAnsi"/>
        </w:rPr>
        <w:t xml:space="preserve">low-cost, high-value </w:t>
      </w:r>
      <w:r w:rsidR="007B4701">
        <w:rPr>
          <w:rFonts w:cstheme="minorHAnsi"/>
        </w:rPr>
        <w:t xml:space="preserve">incentive can be purchased by </w:t>
      </w:r>
      <w:r w:rsidR="00BE724E">
        <w:rPr>
          <w:rFonts w:cstheme="minorHAnsi"/>
        </w:rPr>
        <w:t>a business</w:t>
      </w:r>
      <w:r w:rsidR="00482721">
        <w:rPr>
          <w:rFonts w:cstheme="minorHAnsi"/>
        </w:rPr>
        <w:t xml:space="preserve"> </w:t>
      </w:r>
      <w:r w:rsidR="007B4701">
        <w:rPr>
          <w:rFonts w:cstheme="minorHAnsi"/>
        </w:rPr>
        <w:t xml:space="preserve">in bulk </w:t>
      </w:r>
      <w:r w:rsidR="00951E1C">
        <w:rPr>
          <w:rFonts w:cstheme="minorHAnsi"/>
        </w:rPr>
        <w:t xml:space="preserve">for as low as </w:t>
      </w:r>
      <w:r w:rsidR="00494940">
        <w:rPr>
          <w:rFonts w:cstheme="minorHAnsi"/>
        </w:rPr>
        <w:t xml:space="preserve">a few dollars per </w:t>
      </w:r>
      <w:r w:rsidR="007B4701">
        <w:rPr>
          <w:rFonts w:cstheme="minorHAnsi"/>
        </w:rPr>
        <w:t>car</w:t>
      </w:r>
      <w:r w:rsidR="00494940">
        <w:rPr>
          <w:rFonts w:cstheme="minorHAnsi"/>
        </w:rPr>
        <w:t>d</w:t>
      </w:r>
      <w:r w:rsidR="00402F79">
        <w:rPr>
          <w:rFonts w:cstheme="minorHAnsi"/>
        </w:rPr>
        <w:t xml:space="preserve">. It can be </w:t>
      </w:r>
      <w:r w:rsidR="00C64069">
        <w:rPr>
          <w:rFonts w:cstheme="minorHAnsi"/>
        </w:rPr>
        <w:t xml:space="preserve">used </w:t>
      </w:r>
      <w:r w:rsidR="00402F79">
        <w:rPr>
          <w:rFonts w:cstheme="minorHAnsi"/>
        </w:rPr>
        <w:t>for</w:t>
      </w:r>
      <w:r w:rsidR="00C64069">
        <w:rPr>
          <w:rFonts w:cstheme="minorHAnsi"/>
        </w:rPr>
        <w:t xml:space="preserve"> </w:t>
      </w:r>
      <w:r w:rsidR="00402F79">
        <w:rPr>
          <w:rFonts w:cstheme="minorHAnsi"/>
        </w:rPr>
        <w:t xml:space="preserve">customer </w:t>
      </w:r>
      <w:r w:rsidR="00C64069">
        <w:rPr>
          <w:rFonts w:cstheme="minorHAnsi"/>
        </w:rPr>
        <w:t>acquisition and retention efforts, sales promotions, customer loyalty programs, employee incentives</w:t>
      </w:r>
      <w:r w:rsidR="002B32B2">
        <w:rPr>
          <w:rFonts w:cstheme="minorHAnsi"/>
        </w:rPr>
        <w:t xml:space="preserve"> </w:t>
      </w:r>
      <w:r w:rsidR="00C64069">
        <w:rPr>
          <w:rFonts w:cstheme="minorHAnsi"/>
        </w:rPr>
        <w:t xml:space="preserve">and </w:t>
      </w:r>
      <w:r w:rsidR="00402F79">
        <w:rPr>
          <w:rFonts w:cstheme="minorHAnsi"/>
        </w:rPr>
        <w:t>much</w:t>
      </w:r>
      <w:r w:rsidR="00C64069">
        <w:rPr>
          <w:rFonts w:cstheme="minorHAnsi"/>
        </w:rPr>
        <w:t xml:space="preserve"> more.</w:t>
      </w:r>
    </w:p>
    <w:p w14:paraId="19FEC142" w14:textId="77777777" w:rsidR="007B4701" w:rsidRDefault="007B4701" w:rsidP="00E67EEE">
      <w:pPr>
        <w:spacing w:after="0"/>
        <w:rPr>
          <w:rFonts w:cstheme="minorHAnsi"/>
        </w:rPr>
      </w:pPr>
    </w:p>
    <w:p w14:paraId="2C4421E3" w14:textId="77777777" w:rsidR="00F11518" w:rsidRDefault="00F11518" w:rsidP="00F1151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Easy for Consumers</w:t>
      </w:r>
    </w:p>
    <w:p w14:paraId="180BE5EC" w14:textId="75CA8AAF" w:rsidR="00F11518" w:rsidRDefault="00F11518" w:rsidP="00482721">
      <w:pPr>
        <w:rPr>
          <w:rFonts w:cstheme="minorHAnsi"/>
        </w:rPr>
      </w:pPr>
      <w:r>
        <w:rPr>
          <w:rFonts w:cstheme="minorHAnsi"/>
        </w:rPr>
        <w:t xml:space="preserve">For consumers, </w:t>
      </w:r>
      <w:r w:rsidR="00BC57B8">
        <w:rPr>
          <w:rFonts w:cstheme="minorHAnsi"/>
        </w:rPr>
        <w:t>t</w:t>
      </w:r>
      <w:r>
        <w:rPr>
          <w:rFonts w:cstheme="minorHAnsi"/>
        </w:rPr>
        <w:t xml:space="preserve">he cards are easy to redeem via the </w:t>
      </w:r>
      <w:r w:rsidR="005027A8">
        <w:rPr>
          <w:rFonts w:cstheme="minorHAnsi"/>
        </w:rPr>
        <w:t>Dining Advantage</w:t>
      </w:r>
      <w:r w:rsidR="00982EFD">
        <w:rPr>
          <w:rFonts w:cstheme="minorHAnsi"/>
        </w:rPr>
        <w:t>®</w:t>
      </w:r>
      <w:r w:rsidR="005027A8">
        <w:rPr>
          <w:rFonts w:cstheme="minorHAnsi"/>
        </w:rPr>
        <w:t xml:space="preserve"> </w:t>
      </w:r>
      <w:r>
        <w:rPr>
          <w:rFonts w:cstheme="minorHAnsi"/>
        </w:rPr>
        <w:t>mobile app, provide overall savings at least twice the value of the card, and are a delicious way to support the local restaurant scene.</w:t>
      </w:r>
    </w:p>
    <w:p w14:paraId="4C2AF630" w14:textId="56C7D572" w:rsidR="00482721" w:rsidRDefault="009E19E6" w:rsidP="00482721">
      <w:pPr>
        <w:rPr>
          <w:rFonts w:cstheme="minorHAnsi"/>
        </w:rPr>
      </w:pPr>
      <w:r>
        <w:rPr>
          <w:rFonts w:cstheme="minorHAnsi"/>
        </w:rPr>
        <w:t>T</w:t>
      </w:r>
      <w:r w:rsidR="003A27AB">
        <w:rPr>
          <w:rFonts w:cstheme="minorHAnsi"/>
        </w:rPr>
        <w:t xml:space="preserve">o see the wealth of restaurant discounts available </w:t>
      </w:r>
      <w:r w:rsidR="009F2A7C">
        <w:rPr>
          <w:rFonts w:cstheme="minorHAnsi"/>
        </w:rPr>
        <w:t>for purchase</w:t>
      </w:r>
      <w:r w:rsidR="003A27AB">
        <w:rPr>
          <w:rFonts w:cstheme="minorHAnsi"/>
        </w:rPr>
        <w:t xml:space="preserve"> by gift card recipients, v</w:t>
      </w:r>
      <w:r w:rsidR="00482721">
        <w:rPr>
          <w:rFonts w:cstheme="minorHAnsi"/>
        </w:rPr>
        <w:t xml:space="preserve">isit the </w:t>
      </w:r>
      <w:r w:rsidR="005E6788">
        <w:t>Dining Advantage</w:t>
      </w:r>
      <w:r w:rsidR="00982EFD">
        <w:t>®</w:t>
      </w:r>
      <w:r w:rsidR="00B00ADE">
        <w:rPr>
          <w:rFonts w:cstheme="minorHAnsi"/>
        </w:rPr>
        <w:t xml:space="preserve"> </w:t>
      </w:r>
      <w:r w:rsidR="00482721" w:rsidRPr="005E6788">
        <w:rPr>
          <w:rFonts w:cstheme="minorHAnsi"/>
        </w:rPr>
        <w:t>website</w:t>
      </w:r>
      <w:r w:rsidR="00482721">
        <w:rPr>
          <w:rFonts w:cstheme="minorHAnsi"/>
        </w:rPr>
        <w:t xml:space="preserve"> </w:t>
      </w:r>
      <w:r>
        <w:rPr>
          <w:rFonts w:cstheme="minorHAnsi"/>
        </w:rPr>
        <w:t xml:space="preserve">at </w:t>
      </w:r>
      <w:hyperlink r:id="rId11" w:history="1">
        <w:r w:rsidRPr="008A2908">
          <w:rPr>
            <w:rStyle w:val="Hyperlink"/>
            <w:rFonts w:cstheme="minorHAnsi"/>
          </w:rPr>
          <w:t>www.diningadvantage.com</w:t>
        </w:r>
      </w:hyperlink>
      <w:r>
        <w:rPr>
          <w:rFonts w:cstheme="minorHAnsi"/>
        </w:rPr>
        <w:t xml:space="preserve"> </w:t>
      </w:r>
      <w:r w:rsidR="002C4AD2">
        <w:rPr>
          <w:rFonts w:cstheme="minorHAnsi"/>
        </w:rPr>
        <w:t>where consumers can</w:t>
      </w:r>
      <w:r w:rsidR="00482721">
        <w:rPr>
          <w:rFonts w:cstheme="minorHAnsi"/>
        </w:rPr>
        <w:t>:</w:t>
      </w:r>
    </w:p>
    <w:p w14:paraId="27336B87" w14:textId="361600A9" w:rsidR="00B00ADE" w:rsidRPr="00B00ADE" w:rsidRDefault="00B00ADE" w:rsidP="00482721">
      <w:pPr>
        <w:pStyle w:val="ListParagraph"/>
        <w:numPr>
          <w:ilvl w:val="0"/>
          <w:numId w:val="1"/>
        </w:numPr>
        <w:rPr>
          <w:rFonts w:cstheme="minorHAnsi"/>
        </w:rPr>
      </w:pPr>
      <w:r w:rsidRPr="00B00ADE">
        <w:rPr>
          <w:rFonts w:cstheme="minorHAnsi"/>
          <w:b/>
        </w:rPr>
        <w:t>Browse</w:t>
      </w:r>
      <w:r w:rsidR="009E19E6">
        <w:rPr>
          <w:rFonts w:cstheme="minorHAnsi"/>
          <w:b/>
        </w:rPr>
        <w:t xml:space="preserve"> or search for participating restaurants</w:t>
      </w:r>
    </w:p>
    <w:p w14:paraId="6D250956" w14:textId="20400806" w:rsidR="00482721" w:rsidRDefault="002C4AD2" w:rsidP="0048272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 xml:space="preserve">Build </w:t>
      </w:r>
      <w:r w:rsidR="00482721" w:rsidRPr="00482721">
        <w:rPr>
          <w:rFonts w:cstheme="minorHAnsi"/>
          <w:b/>
        </w:rPr>
        <w:t>Wish List</w:t>
      </w:r>
      <w:r>
        <w:rPr>
          <w:rFonts w:cstheme="minorHAnsi"/>
          <w:b/>
        </w:rPr>
        <w:t>s</w:t>
      </w:r>
      <w:r w:rsidR="009E19E6">
        <w:rPr>
          <w:rFonts w:cstheme="minorHAnsi"/>
          <w:b/>
        </w:rPr>
        <w:t xml:space="preserve"> and store for future use</w:t>
      </w:r>
    </w:p>
    <w:p w14:paraId="40E42825" w14:textId="04A9C495" w:rsidR="00482721" w:rsidRDefault="00482721" w:rsidP="00482721">
      <w:pPr>
        <w:pStyle w:val="ListParagraph"/>
        <w:numPr>
          <w:ilvl w:val="0"/>
          <w:numId w:val="1"/>
        </w:numPr>
        <w:rPr>
          <w:rFonts w:cstheme="minorHAnsi"/>
        </w:rPr>
      </w:pPr>
      <w:r w:rsidRPr="00482721">
        <w:rPr>
          <w:rFonts w:cstheme="minorHAnsi"/>
          <w:b/>
        </w:rPr>
        <w:t>Rate &amp; Review</w:t>
      </w:r>
      <w:r w:rsidR="00764840">
        <w:rPr>
          <w:rFonts w:cstheme="minorHAnsi"/>
          <w:b/>
        </w:rPr>
        <w:t xml:space="preserve"> r</w:t>
      </w:r>
      <w:r w:rsidR="00BB67E2">
        <w:rPr>
          <w:rFonts w:cstheme="minorHAnsi"/>
          <w:b/>
        </w:rPr>
        <w:t>estaurant e</w:t>
      </w:r>
      <w:r w:rsidR="009E19E6">
        <w:rPr>
          <w:rFonts w:cstheme="minorHAnsi"/>
          <w:b/>
        </w:rPr>
        <w:t>xperiences</w:t>
      </w:r>
    </w:p>
    <w:p w14:paraId="0BE4EFAE" w14:textId="130E80E8" w:rsidR="00951E1C" w:rsidRDefault="00F30394" w:rsidP="00310235">
      <w:pPr>
        <w:rPr>
          <w:rFonts w:cstheme="minorHAnsi"/>
        </w:rPr>
      </w:pPr>
      <w:r>
        <w:rPr>
          <w:rFonts w:cstheme="minorHAnsi"/>
        </w:rPr>
        <w:t>Consumers</w:t>
      </w:r>
      <w:r w:rsidR="00482721">
        <w:rPr>
          <w:rFonts w:cstheme="minorHAnsi"/>
        </w:rPr>
        <w:t xml:space="preserve"> can also access these features, as well as redeem the</w:t>
      </w:r>
      <w:r w:rsidR="007B4701">
        <w:rPr>
          <w:rFonts w:cstheme="minorHAnsi"/>
        </w:rPr>
        <w:t xml:space="preserve">ir savings </w:t>
      </w:r>
      <w:r w:rsidR="00951E1C">
        <w:rPr>
          <w:rFonts w:cstheme="minorHAnsi"/>
        </w:rPr>
        <w:t>on the go</w:t>
      </w:r>
      <w:r w:rsidR="00482721">
        <w:rPr>
          <w:rFonts w:cstheme="minorHAnsi"/>
        </w:rPr>
        <w:t xml:space="preserve">, using </w:t>
      </w:r>
      <w:r w:rsidR="00153308">
        <w:rPr>
          <w:rFonts w:cstheme="minorHAnsi"/>
        </w:rPr>
        <w:t xml:space="preserve">the </w:t>
      </w:r>
      <w:r w:rsidR="005E6788">
        <w:t>Dining Advantage</w:t>
      </w:r>
      <w:r w:rsidR="00982EFD">
        <w:t>®</w:t>
      </w:r>
      <w:r w:rsidR="005E6788">
        <w:t xml:space="preserve"> </w:t>
      </w:r>
      <w:r w:rsidR="009F2A7C">
        <w:rPr>
          <w:rFonts w:cstheme="minorHAnsi"/>
        </w:rPr>
        <w:t xml:space="preserve">mobile </w:t>
      </w:r>
      <w:r w:rsidR="00951E1C">
        <w:rPr>
          <w:rFonts w:cstheme="minorHAnsi"/>
        </w:rPr>
        <w:t xml:space="preserve">app. </w:t>
      </w:r>
    </w:p>
    <w:p w14:paraId="68CBB0B0" w14:textId="61E47A9B" w:rsidR="009E19E6" w:rsidRDefault="009E19E6" w:rsidP="00310235">
      <w:pPr>
        <w:rPr>
          <w:rFonts w:cstheme="minorHAnsi"/>
        </w:rPr>
      </w:pPr>
      <w:r>
        <w:rPr>
          <w:rFonts w:cstheme="minorHAnsi"/>
        </w:rPr>
        <w:lastRenderedPageBreak/>
        <w:t xml:space="preserve">To find out more, marketers should contact Entertainment’s </w:t>
      </w:r>
      <w:hyperlink r:id="rId12" w:history="1">
        <w:r w:rsidRPr="003A27AB">
          <w:rPr>
            <w:rStyle w:val="Hyperlink"/>
            <w:rFonts w:cstheme="minorHAnsi"/>
          </w:rPr>
          <w:t>Corporate Marketing Solutions</w:t>
        </w:r>
      </w:hyperlink>
      <w:r>
        <w:rPr>
          <w:rFonts w:cstheme="minorHAnsi"/>
        </w:rPr>
        <w:t xml:space="preserve"> team.</w:t>
      </w:r>
    </w:p>
    <w:p w14:paraId="69463EE7" w14:textId="77777777" w:rsidR="006A38F5" w:rsidRPr="006A38F5" w:rsidRDefault="006A38F5" w:rsidP="002533B1">
      <w:pPr>
        <w:spacing w:after="0"/>
      </w:pPr>
      <w:r w:rsidRPr="006A38F5">
        <w:rPr>
          <w:b/>
          <w:bCs/>
        </w:rPr>
        <w:t>About Us:</w:t>
      </w:r>
      <w:r w:rsidRPr="006A38F5">
        <w:t> </w:t>
      </w:r>
    </w:p>
    <w:p w14:paraId="52CCEA49" w14:textId="6288966C" w:rsidR="00AB584D" w:rsidRDefault="00197ED7" w:rsidP="006A38F5">
      <w:r w:rsidRPr="00F11518">
        <w:t>Founded in 1962, Entertainment</w:t>
      </w:r>
      <w:r w:rsidR="006A38F5" w:rsidRPr="00F11518">
        <w:t xml:space="preserve"> has been a leader in providing the most recognized and sought-after discount, promotion and coupon products in communities throughout North America. As the largest and most trusted merchant savings network,</w:t>
      </w:r>
      <w:r w:rsidR="00F11518" w:rsidRPr="00F11518">
        <w:t xml:space="preserve"> Entertainment provides consumers with deeper discounts, superior market coverage, and greater variety of merchant offerings.</w:t>
      </w:r>
      <w:r w:rsidR="00F11518">
        <w:t xml:space="preserve"> </w:t>
      </w:r>
    </w:p>
    <w:p w14:paraId="1A44DDAB" w14:textId="02B2BF4F" w:rsidR="00B45D18" w:rsidRPr="006A38F5" w:rsidRDefault="007B4701" w:rsidP="006A38F5">
      <w:r>
        <w:t>T</w:t>
      </w:r>
      <w:r w:rsidR="00771CD1" w:rsidRPr="00771CD1">
        <w:t>he Corporate Marketing Solu</w:t>
      </w:r>
      <w:r w:rsidR="00197ED7">
        <w:t>tions division of Entertainment</w:t>
      </w:r>
      <w:r w:rsidR="00771CD1" w:rsidRPr="00771CD1">
        <w:t xml:space="preserve"> specializes in developing private-label savings programs that help businesses connect and engage with their customers. These high value discount and promotion produc</w:t>
      </w:r>
      <w:r w:rsidR="00197ED7">
        <w:t>ts are powered by Entertainment</w:t>
      </w:r>
      <w:r>
        <w:t>’s merchant network</w:t>
      </w:r>
      <w:r w:rsidR="00771CD1" w:rsidRPr="00771CD1">
        <w:t>, with offers customized by audience and matched by geography and demographics to ensure they are relevant.</w:t>
      </w:r>
      <w:r w:rsidR="00771CD1">
        <w:t xml:space="preserve"> </w:t>
      </w:r>
      <w:r w:rsidR="006A38F5" w:rsidRPr="006A38F5">
        <w:t>For more information about Entertainment visit us at </w:t>
      </w:r>
      <w:hyperlink r:id="rId13" w:tgtFrame="_blank" w:history="1">
        <w:r w:rsidR="006A38F5" w:rsidRPr="006A38F5">
          <w:rPr>
            <w:rStyle w:val="Hyperlink"/>
          </w:rPr>
          <w:t>Entertainment.com</w:t>
        </w:r>
      </w:hyperlink>
      <w:r w:rsidR="006A38F5" w:rsidRPr="006A38F5">
        <w:t> and follow us on </w:t>
      </w:r>
      <w:hyperlink r:id="rId14" w:tgtFrame="_blank" w:history="1">
        <w:r w:rsidR="006A38F5" w:rsidRPr="006A38F5">
          <w:rPr>
            <w:rStyle w:val="Hyperlink"/>
          </w:rPr>
          <w:t>LinkedIn</w:t>
        </w:r>
      </w:hyperlink>
      <w:r w:rsidR="006A38F5" w:rsidRPr="006A38F5">
        <w:t>. </w:t>
      </w:r>
      <w:r w:rsidR="006A38F5" w:rsidRPr="006A38F5">
        <w:br/>
        <w:t> </w:t>
      </w:r>
    </w:p>
    <w:p w14:paraId="5EF8B938" w14:textId="77777777" w:rsidR="006A38F5" w:rsidRPr="00263C3E" w:rsidRDefault="006A38F5" w:rsidP="006A38F5">
      <w:r w:rsidRPr="006A38F5">
        <w:rPr>
          <w:b/>
          <w:bCs/>
        </w:rPr>
        <w:t>Contacts </w:t>
      </w:r>
      <w:r w:rsidRPr="006A38F5">
        <w:t> </w:t>
      </w:r>
      <w:r w:rsidRPr="006A38F5">
        <w:br/>
      </w:r>
      <w:r w:rsidRPr="00263C3E">
        <w:t>Karen Cuff  </w:t>
      </w:r>
      <w:r w:rsidRPr="00263C3E">
        <w:br/>
        <w:t>Senior Marketing Manager  </w:t>
      </w:r>
      <w:r w:rsidRPr="00263C3E">
        <w:br/>
        <w:t>Entertainment  </w:t>
      </w:r>
      <w:r w:rsidRPr="00263C3E">
        <w:br/>
        <w:t>Tel: +1-248-404-1710  </w:t>
      </w:r>
      <w:r w:rsidRPr="00263C3E">
        <w:br/>
        <w:t>kcuff@entertainment.com </w:t>
      </w:r>
    </w:p>
    <w:p w14:paraId="06E679DB" w14:textId="77777777" w:rsidR="006A38F5" w:rsidRPr="00CC73F4" w:rsidRDefault="00554ECB" w:rsidP="006A38F5">
      <w:pPr>
        <w:rPr>
          <w:sz w:val="16"/>
          <w:szCs w:val="16"/>
        </w:rPr>
      </w:pPr>
      <w:r w:rsidRPr="00263C3E">
        <w:t>Ashley</w:t>
      </w:r>
      <w:r w:rsidR="00CC73F4" w:rsidRPr="00263C3E">
        <w:t xml:space="preserve"> Simmons</w:t>
      </w:r>
      <w:r w:rsidR="00CC73F4" w:rsidRPr="00263C3E">
        <w:rPr>
          <w:rStyle w:val="CommentReference"/>
        </w:rPr>
        <w:br/>
      </w:r>
      <w:r w:rsidR="006A38F5" w:rsidRPr="00263C3E">
        <w:t>Airfoil Group for Entertainment  </w:t>
      </w:r>
      <w:r w:rsidR="006A38F5" w:rsidRPr="00263C3E">
        <w:br/>
        <w:t>Tel: +1-248-304-1452 </w:t>
      </w:r>
      <w:r w:rsidR="006A38F5" w:rsidRPr="00263C3E">
        <w:br/>
        <w:t>Entertainment@airfoilgroup.com</w:t>
      </w:r>
      <w:r w:rsidR="006A38F5" w:rsidRPr="006A38F5">
        <w:t> </w:t>
      </w:r>
    </w:p>
    <w:p w14:paraId="52DD783C" w14:textId="77777777" w:rsidR="00F16F89" w:rsidRDefault="00F16F89"/>
    <w:sectPr w:rsidR="00F1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640DC"/>
    <w:multiLevelType w:val="hybridMultilevel"/>
    <w:tmpl w:val="091E163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A153B5E"/>
    <w:multiLevelType w:val="hybridMultilevel"/>
    <w:tmpl w:val="656E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F5"/>
    <w:rsid w:val="00005476"/>
    <w:rsid w:val="00023062"/>
    <w:rsid w:val="000244BF"/>
    <w:rsid w:val="00034126"/>
    <w:rsid w:val="00041EA6"/>
    <w:rsid w:val="00075DF2"/>
    <w:rsid w:val="00084093"/>
    <w:rsid w:val="00094086"/>
    <w:rsid w:val="000A03AD"/>
    <w:rsid w:val="000A2303"/>
    <w:rsid w:val="000C659E"/>
    <w:rsid w:val="000C6BAD"/>
    <w:rsid w:val="000D7669"/>
    <w:rsid w:val="000E3B3B"/>
    <w:rsid w:val="0010532F"/>
    <w:rsid w:val="00152E09"/>
    <w:rsid w:val="00153308"/>
    <w:rsid w:val="00175682"/>
    <w:rsid w:val="00182B85"/>
    <w:rsid w:val="00196B0C"/>
    <w:rsid w:val="00197ED7"/>
    <w:rsid w:val="001B0B1A"/>
    <w:rsid w:val="001D1CB7"/>
    <w:rsid w:val="001F441E"/>
    <w:rsid w:val="00223AAE"/>
    <w:rsid w:val="00243E7D"/>
    <w:rsid w:val="002533B1"/>
    <w:rsid w:val="00263C3E"/>
    <w:rsid w:val="00264924"/>
    <w:rsid w:val="002870D7"/>
    <w:rsid w:val="00290A2B"/>
    <w:rsid w:val="00297C21"/>
    <w:rsid w:val="002A74FB"/>
    <w:rsid w:val="002B32B2"/>
    <w:rsid w:val="002C0672"/>
    <w:rsid w:val="002C2697"/>
    <w:rsid w:val="002C4AD2"/>
    <w:rsid w:val="002D4AC7"/>
    <w:rsid w:val="002E67E4"/>
    <w:rsid w:val="00310235"/>
    <w:rsid w:val="00312576"/>
    <w:rsid w:val="003159C6"/>
    <w:rsid w:val="00323CF4"/>
    <w:rsid w:val="003311F0"/>
    <w:rsid w:val="00336049"/>
    <w:rsid w:val="00365A4A"/>
    <w:rsid w:val="00371C75"/>
    <w:rsid w:val="0038057D"/>
    <w:rsid w:val="003969CA"/>
    <w:rsid w:val="003A0137"/>
    <w:rsid w:val="003A27AB"/>
    <w:rsid w:val="003B539D"/>
    <w:rsid w:val="003B6791"/>
    <w:rsid w:val="003D3E73"/>
    <w:rsid w:val="003D4566"/>
    <w:rsid w:val="003D7088"/>
    <w:rsid w:val="003F2AC4"/>
    <w:rsid w:val="003F4DC9"/>
    <w:rsid w:val="003F5010"/>
    <w:rsid w:val="00402F79"/>
    <w:rsid w:val="00404C41"/>
    <w:rsid w:val="00413C05"/>
    <w:rsid w:val="0041776D"/>
    <w:rsid w:val="00417AA8"/>
    <w:rsid w:val="00434806"/>
    <w:rsid w:val="00445B65"/>
    <w:rsid w:val="00445C8F"/>
    <w:rsid w:val="00466B14"/>
    <w:rsid w:val="00472C70"/>
    <w:rsid w:val="00482721"/>
    <w:rsid w:val="004915A6"/>
    <w:rsid w:val="00494940"/>
    <w:rsid w:val="00496D3E"/>
    <w:rsid w:val="00497921"/>
    <w:rsid w:val="004A221A"/>
    <w:rsid w:val="004A3150"/>
    <w:rsid w:val="004A4E0A"/>
    <w:rsid w:val="004B1DFD"/>
    <w:rsid w:val="004C7D25"/>
    <w:rsid w:val="004D7348"/>
    <w:rsid w:val="004E62EF"/>
    <w:rsid w:val="004F1B4D"/>
    <w:rsid w:val="004F3CC9"/>
    <w:rsid w:val="005027A8"/>
    <w:rsid w:val="00521DDF"/>
    <w:rsid w:val="00522F49"/>
    <w:rsid w:val="005272AA"/>
    <w:rsid w:val="00544893"/>
    <w:rsid w:val="005460DA"/>
    <w:rsid w:val="00551184"/>
    <w:rsid w:val="00554ECB"/>
    <w:rsid w:val="0056428B"/>
    <w:rsid w:val="00576E28"/>
    <w:rsid w:val="00585341"/>
    <w:rsid w:val="0059636D"/>
    <w:rsid w:val="005A3EAA"/>
    <w:rsid w:val="005A4F37"/>
    <w:rsid w:val="005A6F52"/>
    <w:rsid w:val="005C6736"/>
    <w:rsid w:val="005E6788"/>
    <w:rsid w:val="005E7EA4"/>
    <w:rsid w:val="006025F0"/>
    <w:rsid w:val="00604A7C"/>
    <w:rsid w:val="0063577A"/>
    <w:rsid w:val="006420F5"/>
    <w:rsid w:val="006623F5"/>
    <w:rsid w:val="00663289"/>
    <w:rsid w:val="00673CB4"/>
    <w:rsid w:val="00694F36"/>
    <w:rsid w:val="006A38F5"/>
    <w:rsid w:val="006B6B25"/>
    <w:rsid w:val="006C55A4"/>
    <w:rsid w:val="006D6B9A"/>
    <w:rsid w:val="006E136B"/>
    <w:rsid w:val="006E728A"/>
    <w:rsid w:val="007211F5"/>
    <w:rsid w:val="00731313"/>
    <w:rsid w:val="007377DA"/>
    <w:rsid w:val="00751CE1"/>
    <w:rsid w:val="00764840"/>
    <w:rsid w:val="007655EC"/>
    <w:rsid w:val="00771CD1"/>
    <w:rsid w:val="0079213E"/>
    <w:rsid w:val="007B4701"/>
    <w:rsid w:val="007C45AB"/>
    <w:rsid w:val="007E5B2A"/>
    <w:rsid w:val="00834322"/>
    <w:rsid w:val="0083632E"/>
    <w:rsid w:val="00840A55"/>
    <w:rsid w:val="008478BA"/>
    <w:rsid w:val="0086359B"/>
    <w:rsid w:val="008959A4"/>
    <w:rsid w:val="008A3260"/>
    <w:rsid w:val="008A3854"/>
    <w:rsid w:val="008C3C7B"/>
    <w:rsid w:val="008C5087"/>
    <w:rsid w:val="008C772F"/>
    <w:rsid w:val="008E4DE1"/>
    <w:rsid w:val="008E6D08"/>
    <w:rsid w:val="008F5ABF"/>
    <w:rsid w:val="00902A1E"/>
    <w:rsid w:val="00906FDA"/>
    <w:rsid w:val="00922DFB"/>
    <w:rsid w:val="00926B50"/>
    <w:rsid w:val="00940C6A"/>
    <w:rsid w:val="00951E1C"/>
    <w:rsid w:val="00953F0A"/>
    <w:rsid w:val="009554CB"/>
    <w:rsid w:val="00960FD3"/>
    <w:rsid w:val="00982EFD"/>
    <w:rsid w:val="009833F5"/>
    <w:rsid w:val="009A0EC1"/>
    <w:rsid w:val="009B19F9"/>
    <w:rsid w:val="009B2646"/>
    <w:rsid w:val="009D30A1"/>
    <w:rsid w:val="009E19E6"/>
    <w:rsid w:val="009E1B33"/>
    <w:rsid w:val="009F2A7C"/>
    <w:rsid w:val="00A01C83"/>
    <w:rsid w:val="00A10908"/>
    <w:rsid w:val="00A14C93"/>
    <w:rsid w:val="00A66015"/>
    <w:rsid w:val="00A67448"/>
    <w:rsid w:val="00A67777"/>
    <w:rsid w:val="00A80CB9"/>
    <w:rsid w:val="00A87F96"/>
    <w:rsid w:val="00A91D54"/>
    <w:rsid w:val="00A91ED4"/>
    <w:rsid w:val="00AA399B"/>
    <w:rsid w:val="00AA48B3"/>
    <w:rsid w:val="00AB189C"/>
    <w:rsid w:val="00AB584D"/>
    <w:rsid w:val="00AB758A"/>
    <w:rsid w:val="00AE065F"/>
    <w:rsid w:val="00AE100B"/>
    <w:rsid w:val="00AE204E"/>
    <w:rsid w:val="00AE25EA"/>
    <w:rsid w:val="00AE6D5A"/>
    <w:rsid w:val="00AF26FC"/>
    <w:rsid w:val="00AF3E6B"/>
    <w:rsid w:val="00B00AAD"/>
    <w:rsid w:val="00B00ADE"/>
    <w:rsid w:val="00B03FA1"/>
    <w:rsid w:val="00B20CA4"/>
    <w:rsid w:val="00B45D18"/>
    <w:rsid w:val="00B62DF8"/>
    <w:rsid w:val="00B64065"/>
    <w:rsid w:val="00B714A5"/>
    <w:rsid w:val="00B73253"/>
    <w:rsid w:val="00B779BA"/>
    <w:rsid w:val="00B82534"/>
    <w:rsid w:val="00BA05E5"/>
    <w:rsid w:val="00BB10C2"/>
    <w:rsid w:val="00BB15B7"/>
    <w:rsid w:val="00BB67E2"/>
    <w:rsid w:val="00BC57B8"/>
    <w:rsid w:val="00BD67CE"/>
    <w:rsid w:val="00BE6E78"/>
    <w:rsid w:val="00BE724E"/>
    <w:rsid w:val="00BF37BA"/>
    <w:rsid w:val="00BF3F22"/>
    <w:rsid w:val="00C009BA"/>
    <w:rsid w:val="00C13A54"/>
    <w:rsid w:val="00C2245C"/>
    <w:rsid w:val="00C375C6"/>
    <w:rsid w:val="00C42759"/>
    <w:rsid w:val="00C64069"/>
    <w:rsid w:val="00C74E8D"/>
    <w:rsid w:val="00C82D69"/>
    <w:rsid w:val="00C93208"/>
    <w:rsid w:val="00CA7297"/>
    <w:rsid w:val="00CC2D7B"/>
    <w:rsid w:val="00CC73F4"/>
    <w:rsid w:val="00CD6472"/>
    <w:rsid w:val="00CD7BE6"/>
    <w:rsid w:val="00CE2CEC"/>
    <w:rsid w:val="00D060A4"/>
    <w:rsid w:val="00D12478"/>
    <w:rsid w:val="00D17C62"/>
    <w:rsid w:val="00D537B6"/>
    <w:rsid w:val="00D864FA"/>
    <w:rsid w:val="00DC0506"/>
    <w:rsid w:val="00DC6DD3"/>
    <w:rsid w:val="00DC7228"/>
    <w:rsid w:val="00E13830"/>
    <w:rsid w:val="00E16505"/>
    <w:rsid w:val="00E17C20"/>
    <w:rsid w:val="00E25F51"/>
    <w:rsid w:val="00E30003"/>
    <w:rsid w:val="00E40D96"/>
    <w:rsid w:val="00E46F22"/>
    <w:rsid w:val="00E67EEE"/>
    <w:rsid w:val="00E9213E"/>
    <w:rsid w:val="00EB62DC"/>
    <w:rsid w:val="00F03739"/>
    <w:rsid w:val="00F0705E"/>
    <w:rsid w:val="00F11518"/>
    <w:rsid w:val="00F15294"/>
    <w:rsid w:val="00F16F89"/>
    <w:rsid w:val="00F30394"/>
    <w:rsid w:val="00F5686B"/>
    <w:rsid w:val="00F656C3"/>
    <w:rsid w:val="00F70702"/>
    <w:rsid w:val="00F70A71"/>
    <w:rsid w:val="00F74749"/>
    <w:rsid w:val="00F74EE9"/>
    <w:rsid w:val="00F80B0D"/>
    <w:rsid w:val="00F86F03"/>
    <w:rsid w:val="00F96740"/>
    <w:rsid w:val="00F97A4F"/>
    <w:rsid w:val="00FA50B2"/>
    <w:rsid w:val="00FB22BD"/>
    <w:rsid w:val="00FB2884"/>
    <w:rsid w:val="00FC49C7"/>
    <w:rsid w:val="00FD4145"/>
    <w:rsid w:val="00FD41E8"/>
    <w:rsid w:val="00FE179B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A0CD"/>
  <w15:chartTrackingRefBased/>
  <w15:docId w15:val="{C8C87FF8-7D81-4580-BE5D-6A18FA6E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8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275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0532F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AA48B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5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1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tertainment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ms.entertainment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ningadvantag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gallup.com/poll/201710/americans-dining-frequency-little-changed-2008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ms.entertainment.com/diningadvantage" TargetMode="External"/><Relationship Id="rId14" Type="http://schemas.openxmlformats.org/officeDocument/2006/relationships/hyperlink" Target="https://www.linkedin.com/company/entertainment-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42bf8-36fa-41a2-8c2f-449b2b0e4013">
      <Value>3</Value>
    </TaxCatchAll>
    <k17e9cc6117045b9934068b6eec2209e xmlns="d3342bf8-36fa-41a2-8c2f-449b2b0e40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Accenture</TermName>
          <TermId xmlns="http://schemas.microsoft.com/office/infopath/2007/PartnerControls">ad817a2d-480f-405a-99ac-7bbebf7c71e6</TermId>
        </TermInfo>
      </Terms>
    </k17e9cc6117045b9934068b6eec2209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ARK.Document" ma:contentTypeID="0x01010045287B932D1C4739A0C406ADC0B4048A00B177106EF5758E4792871B6BBC4D5D47" ma:contentTypeVersion="2" ma:contentTypeDescription="SPARK Document" ma:contentTypeScope="" ma:versionID="ecc3c1a953fa8360a7bedcea3719427e">
  <xsd:schema xmlns:xsd="http://www.w3.org/2001/XMLSchema" xmlns:xs="http://www.w3.org/2001/XMLSchema" xmlns:p="http://schemas.microsoft.com/office/2006/metadata/properties" xmlns:ns2="d3342bf8-36fa-41a2-8c2f-449b2b0e4013" targetNamespace="http://schemas.microsoft.com/office/2006/metadata/properties" ma:root="true" ma:fieldsID="2f958fbd1540612846fc6a3daeba72a4" ns2:_="">
    <xsd:import namespace="d3342bf8-36fa-41a2-8c2f-449b2b0e4013"/>
    <xsd:element name="properties">
      <xsd:complexType>
        <xsd:sequence>
          <xsd:element name="documentManagement">
            <xsd:complexType>
              <xsd:all>
                <xsd:element ref="ns2:k17e9cc6117045b9934068b6eec2209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2bf8-36fa-41a2-8c2f-449b2b0e4013" elementFormDefault="qualified">
    <xsd:import namespace="http://schemas.microsoft.com/office/2006/documentManagement/types"/>
    <xsd:import namespace="http://schemas.microsoft.com/office/infopath/2007/PartnerControls"/>
    <xsd:element name="k17e9cc6117045b9934068b6eec2209e" ma:index="8" nillable="true" ma:taxonomy="true" ma:internalName="k17e9cc6117045b9934068b6eec2209e" ma:taxonomyFieldName="Client" ma:displayName="Client" ma:default="" ma:fieldId="{417e9cc6-1170-45b9-9340-68b6eec2209e}" ma:sspId="9609b386-2531-475b-b77a-0cbffc7fb91f" ma:termSetId="8b9d34c0-1d17-4e8f-b708-6b0fc93bf705" ma:anchorId="3bc89588-0604-4a24-9037-2925e33b1ed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ed29eaa-c158-484d-b10f-684493f3be32}" ma:internalName="TaxCatchAll" ma:showField="CatchAllData" ma:web="9a17e80b-3033-4a6e-afb7-b50d21342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ed29eaa-c158-484d-b10f-684493f3be32}" ma:internalName="TaxCatchAllLabel" ma:readOnly="true" ma:showField="CatchAllDataLabel" ma:web="9a17e80b-3033-4a6e-afb7-b50d21342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6CAE-0AF8-4B82-B6A8-8E4809A61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3342bf8-36fa-41a2-8c2f-449b2b0e40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D71898-AC98-4542-A66F-8886FD892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2bf8-36fa-41a2-8c2f-449b2b0e4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09D76-0B67-42C6-A332-A16312379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94B20-F6D9-4777-A257-853B92F5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Miele</dc:creator>
  <cp:keywords/>
  <dc:description/>
  <cp:lastModifiedBy>Ashley Simmons</cp:lastModifiedBy>
  <cp:revision>2</cp:revision>
  <cp:lastPrinted>2017-05-12T14:40:00Z</cp:lastPrinted>
  <dcterms:created xsi:type="dcterms:W3CDTF">2017-05-18T15:17:00Z</dcterms:created>
  <dcterms:modified xsi:type="dcterms:W3CDTF">2017-05-18T15:17:00Z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3;#Accenture|ad817a2d-480f-405a-99ac-7bbebf7c71e6</vt:lpwstr>
  </property>
  <property fmtid="{D5CDD505-2E9C-101B-9397-08002B2CF9AE}" pid="3" name="Vertical">
    <vt:lpwstr>3;#Professional Services|dc6ef937-3d87-44f2-ae0b-d2f265414eef</vt:lpwstr>
  </property>
  <property fmtid="{D5CDD505-2E9C-101B-9397-08002B2CF9AE}" pid="4" name="ContentTypeId">
    <vt:lpwstr>0x01010045287B932D1C4739A0C406ADC0B4048A00B177106EF5758E4792871B6BBC4D5D47</vt:lpwstr>
  </property>
  <property fmtid="{D5CDD505-2E9C-101B-9397-08002B2CF9AE}" pid="5" name="Process">
    <vt:lpwstr>5;#Engage|758fec1d-3131-4b70-9c2a-ab2e2e46244a</vt:lpwstr>
  </property>
  <property fmtid="{D5CDD505-2E9C-101B-9397-08002B2CF9AE}" pid="6" name="Client Location">
    <vt:lpwstr>2;#USA|5f5ce9e3-6ad2-4f3a-9195-00fc44013e3a</vt:lpwstr>
  </property>
  <property fmtid="{D5CDD505-2E9C-101B-9397-08002B2CF9AE}" pid="7" name="Deliverable">
    <vt:lpwstr>10;#Press Release|04d79baf-2b1f-44c6-991d-7474748fb0ab</vt:lpwstr>
  </property>
</Properties>
</file>