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75" w:rsidRDefault="004576D0" w:rsidP="000D3A75">
      <w:pPr>
        <w:jc w:val="center"/>
        <w:rPr>
          <w:b/>
          <w:bCs/>
          <w:smallCaps/>
          <w:sz w:val="26"/>
          <w:szCs w:val="26"/>
        </w:rPr>
      </w:pPr>
      <w:bookmarkStart w:id="0" w:name="_GoBack"/>
      <w:bookmarkEnd w:id="0"/>
      <w:r>
        <w:rPr>
          <w:noProof/>
        </w:rPr>
        <w:drawing>
          <wp:anchor distT="0" distB="0" distL="114300" distR="114300" simplePos="0" relativeHeight="251658240" behindDoc="1" locked="0" layoutInCell="0" allowOverlap="0">
            <wp:simplePos x="0" y="0"/>
            <wp:positionH relativeFrom="column">
              <wp:posOffset>-273050</wp:posOffset>
            </wp:positionH>
            <wp:positionV relativeFrom="paragraph">
              <wp:posOffset>-163830</wp:posOffset>
            </wp:positionV>
            <wp:extent cx="6586855" cy="414655"/>
            <wp:effectExtent l="0" t="0" r="0" b="0"/>
            <wp:wrapTight wrapText="bothSides">
              <wp:wrapPolygon edited="0">
                <wp:start x="0" y="0"/>
                <wp:lineTo x="0" y="19847"/>
                <wp:lineTo x="21490" y="19847"/>
                <wp:lineTo x="21490" y="0"/>
                <wp:lineTo x="0" y="0"/>
              </wp:wrapPolygon>
            </wp:wrapTight>
            <wp:docPr id="10" name="Picture 7" descr="DMD_Logo349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D_Logo349_Hor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6855" cy="414655"/>
                    </a:xfrm>
                    <a:prstGeom prst="rect">
                      <a:avLst/>
                    </a:prstGeom>
                    <a:noFill/>
                  </pic:spPr>
                </pic:pic>
              </a:graphicData>
            </a:graphic>
          </wp:anchor>
        </w:drawing>
      </w:r>
    </w:p>
    <w:p w:rsidR="000D3A75" w:rsidRPr="00061A11" w:rsidRDefault="004576D0" w:rsidP="000D3A75">
      <w:pPr>
        <w:jc w:val="both"/>
        <w:rPr>
          <w:sz w:val="40"/>
          <w:szCs w:val="40"/>
        </w:rPr>
      </w:pPr>
      <w:r w:rsidRPr="00061A11">
        <w:rPr>
          <w:sz w:val="40"/>
          <w:szCs w:val="40"/>
        </w:rPr>
        <w:t>PRESS RELEASE</w:t>
      </w:r>
    </w:p>
    <w:p w:rsidR="000D3A75" w:rsidRPr="00061A11" w:rsidRDefault="00DB407B" w:rsidP="000D3A75">
      <w:pPr>
        <w:jc w:val="both"/>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3745230</wp:posOffset>
                </wp:positionH>
                <wp:positionV relativeFrom="paragraph">
                  <wp:posOffset>56515</wp:posOffset>
                </wp:positionV>
                <wp:extent cx="3072130" cy="1101725"/>
                <wp:effectExtent l="1905"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101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D042B" w:rsidRDefault="001D042B" w:rsidP="000D3A75">
                            <w:pPr>
                              <w:rPr>
                                <w:rFonts w:ascii="GoudyOlSt BT" w:hAnsi="GoudyOlSt BT"/>
                                <w:b/>
                                <w:sz w:val="28"/>
                                <w:szCs w:val="32"/>
                              </w:rPr>
                            </w:pPr>
                            <w:r>
                              <w:rPr>
                                <w:rFonts w:ascii="GoudyOlSt BT" w:hAnsi="GoudyOlSt BT"/>
                                <w:b/>
                                <w:sz w:val="28"/>
                                <w:szCs w:val="32"/>
                              </w:rPr>
                              <w:t>Media Contact:</w:t>
                            </w:r>
                            <w:r>
                              <w:rPr>
                                <w:rFonts w:ascii="GoudyOlSt BT" w:hAnsi="GoudyOlSt BT"/>
                                <w:b/>
                                <w:sz w:val="28"/>
                                <w:szCs w:val="32"/>
                              </w:rPr>
                              <w:tab/>
                            </w:r>
                            <w:r>
                              <w:rPr>
                                <w:rFonts w:ascii="GoudyOlSt BT" w:hAnsi="GoudyOlSt BT"/>
                                <w:b/>
                                <w:sz w:val="28"/>
                                <w:szCs w:val="32"/>
                              </w:rPr>
                              <w:tab/>
                            </w:r>
                            <w:r>
                              <w:rPr>
                                <w:rFonts w:ascii="GoudyOlSt BT" w:hAnsi="GoudyOlSt BT"/>
                                <w:b/>
                                <w:sz w:val="28"/>
                                <w:szCs w:val="32"/>
                              </w:rPr>
                              <w:tab/>
                            </w:r>
                          </w:p>
                          <w:p w:rsidR="001D042B" w:rsidRDefault="001D042B" w:rsidP="000D3A75">
                            <w:pPr>
                              <w:rPr>
                                <w:rFonts w:ascii="GoudyOlSt BT" w:hAnsi="GoudyOlSt BT"/>
                                <w:sz w:val="28"/>
                                <w:szCs w:val="32"/>
                              </w:rPr>
                            </w:pPr>
                            <w:r>
                              <w:rPr>
                                <w:rFonts w:ascii="GoudyOlSt BT" w:hAnsi="GoudyOlSt BT"/>
                                <w:sz w:val="28"/>
                                <w:szCs w:val="32"/>
                              </w:rPr>
                              <w:t>Lisa Murray</w:t>
                            </w:r>
                          </w:p>
                          <w:p w:rsidR="001D042B" w:rsidRDefault="001D042B" w:rsidP="000D3A75">
                            <w:pPr>
                              <w:rPr>
                                <w:rFonts w:ascii="GoudyOlSt BT" w:hAnsi="GoudyOlSt BT"/>
                                <w:sz w:val="28"/>
                                <w:szCs w:val="32"/>
                              </w:rPr>
                            </w:pPr>
                            <w:r>
                              <w:rPr>
                                <w:rFonts w:ascii="GoudyOlSt BT" w:hAnsi="GoudyOlSt BT"/>
                                <w:sz w:val="28"/>
                                <w:szCs w:val="32"/>
                              </w:rPr>
                              <w:t xml:space="preserve">Trevi Communications, Inc.                                                                                             </w:t>
                            </w:r>
                          </w:p>
                          <w:p w:rsidR="001D042B" w:rsidRDefault="001D042B" w:rsidP="000D3A75">
                            <w:pPr>
                              <w:rPr>
                                <w:rFonts w:ascii="GoudyOlSt BT" w:hAnsi="GoudyOlSt BT"/>
                                <w:sz w:val="28"/>
                                <w:szCs w:val="32"/>
                              </w:rPr>
                            </w:pPr>
                            <w:r>
                              <w:rPr>
                                <w:rFonts w:ascii="GoudyOlSt BT" w:hAnsi="GoudyOlSt BT"/>
                                <w:sz w:val="28"/>
                                <w:szCs w:val="32"/>
                              </w:rPr>
                              <w:t xml:space="preserve">O: 978.750.0333 / M: 617.835.0396 </w:t>
                            </w:r>
                          </w:p>
                          <w:p w:rsidR="001D042B" w:rsidRDefault="001D042B" w:rsidP="000D3A75">
                            <w:pPr>
                              <w:rPr>
                                <w:rFonts w:ascii="GoudyOlSt BT" w:hAnsi="GoudyOlSt BT"/>
                                <w:sz w:val="28"/>
                                <w:szCs w:val="32"/>
                              </w:rPr>
                            </w:pPr>
                            <w:r>
                              <w:rPr>
                                <w:rFonts w:ascii="GoudyOlSt BT" w:hAnsi="GoudyOlSt BT"/>
                                <w:sz w:val="28"/>
                                <w:szCs w:val="32"/>
                              </w:rPr>
                              <w:t xml:space="preserve">lisa@trevicomm.com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4.9pt;margin-top:4.45pt;width:241.9pt;height:86.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" filled="f" stroked="f">
                <v:textbox style="mso-fit-shape-to-text:t">
                  <w:txbxContent>
                    <w:p w:rsidR="001D042B" w:rsidRDefault="001D042B" w:rsidP="000D3A75">
                      <w:pPr>
                        <w:rPr>
                          <w:rFonts w:ascii="GoudyOlSt BT" w:hAnsi="GoudyOlSt BT"/>
                          <w:b/>
                          <w:sz w:val="28"/>
                          <w:szCs w:val="32"/>
                        </w:rPr>
                      </w:pPr>
                      <w:r>
                        <w:rPr>
                          <w:rFonts w:ascii="GoudyOlSt BT" w:hAnsi="GoudyOlSt BT"/>
                          <w:b/>
                          <w:sz w:val="28"/>
                          <w:szCs w:val="32"/>
                        </w:rPr>
                        <w:t>Media Contact:</w:t>
                      </w:r>
                      <w:r>
                        <w:rPr>
                          <w:rFonts w:ascii="GoudyOlSt BT" w:hAnsi="GoudyOlSt BT"/>
                          <w:b/>
                          <w:sz w:val="28"/>
                          <w:szCs w:val="32"/>
                        </w:rPr>
                        <w:tab/>
                      </w:r>
                      <w:r>
                        <w:rPr>
                          <w:rFonts w:ascii="GoudyOlSt BT" w:hAnsi="GoudyOlSt BT"/>
                          <w:b/>
                          <w:sz w:val="28"/>
                          <w:szCs w:val="32"/>
                        </w:rPr>
                        <w:tab/>
                      </w:r>
                      <w:r>
                        <w:rPr>
                          <w:rFonts w:ascii="GoudyOlSt BT" w:hAnsi="GoudyOlSt BT"/>
                          <w:b/>
                          <w:sz w:val="28"/>
                          <w:szCs w:val="32"/>
                        </w:rPr>
                        <w:tab/>
                      </w:r>
                    </w:p>
                    <w:p w:rsidR="001D042B" w:rsidRDefault="001D042B" w:rsidP="000D3A75">
                      <w:pPr>
                        <w:rPr>
                          <w:rFonts w:ascii="GoudyOlSt BT" w:hAnsi="GoudyOlSt BT"/>
                          <w:sz w:val="28"/>
                          <w:szCs w:val="32"/>
                        </w:rPr>
                      </w:pPr>
                      <w:r>
                        <w:rPr>
                          <w:rFonts w:ascii="GoudyOlSt BT" w:hAnsi="GoudyOlSt BT"/>
                          <w:sz w:val="28"/>
                          <w:szCs w:val="32"/>
                        </w:rPr>
                        <w:t>Lisa Murray</w:t>
                      </w:r>
                    </w:p>
                    <w:p w:rsidR="001D042B" w:rsidRDefault="001D042B" w:rsidP="000D3A75">
                      <w:pPr>
                        <w:rPr>
                          <w:rFonts w:ascii="GoudyOlSt BT" w:hAnsi="GoudyOlSt BT"/>
                          <w:sz w:val="28"/>
                          <w:szCs w:val="32"/>
                        </w:rPr>
                      </w:pPr>
                      <w:r>
                        <w:rPr>
                          <w:rFonts w:ascii="GoudyOlSt BT" w:hAnsi="GoudyOlSt BT"/>
                          <w:sz w:val="28"/>
                          <w:szCs w:val="32"/>
                        </w:rPr>
                        <w:t xml:space="preserve">Trevi Communications, Inc.                                                                                             </w:t>
                      </w:r>
                    </w:p>
                    <w:p w:rsidR="001D042B" w:rsidRDefault="001D042B" w:rsidP="000D3A75">
                      <w:pPr>
                        <w:rPr>
                          <w:rFonts w:ascii="GoudyOlSt BT" w:hAnsi="GoudyOlSt BT"/>
                          <w:sz w:val="28"/>
                          <w:szCs w:val="32"/>
                        </w:rPr>
                      </w:pPr>
                      <w:r>
                        <w:rPr>
                          <w:rFonts w:ascii="GoudyOlSt BT" w:hAnsi="GoudyOlSt BT"/>
                          <w:sz w:val="28"/>
                          <w:szCs w:val="32"/>
                        </w:rPr>
                        <w:t xml:space="preserve">O: 978.750.0333 / M: 617.835.0396 </w:t>
                      </w:r>
                    </w:p>
                    <w:p w:rsidR="001D042B" w:rsidRDefault="001D042B" w:rsidP="000D3A75">
                      <w:pPr>
                        <w:rPr>
                          <w:rFonts w:ascii="GoudyOlSt BT" w:hAnsi="GoudyOlSt BT"/>
                          <w:sz w:val="28"/>
                          <w:szCs w:val="32"/>
                        </w:rPr>
                      </w:pPr>
                      <w:r>
                        <w:rPr>
                          <w:rFonts w:ascii="GoudyOlSt BT" w:hAnsi="GoudyOlSt BT"/>
                          <w:sz w:val="28"/>
                          <w:szCs w:val="32"/>
                        </w:rPr>
                        <w:t xml:space="preserve">lisa@trevicomm.com </w:t>
                      </w:r>
                    </w:p>
                  </w:txbxContent>
                </v:textbox>
              </v:shape>
            </w:pict>
          </mc:Fallback>
        </mc:AlternateContent>
      </w:r>
    </w:p>
    <w:p w:rsidR="000D3A75" w:rsidRPr="00061A11" w:rsidRDefault="004576D0" w:rsidP="000D3A75">
      <w:r w:rsidRPr="00061A11">
        <w:rPr>
          <w:sz w:val="32"/>
          <w:szCs w:val="32"/>
        </w:rPr>
        <w:t>Davis, Malm &amp; D’Agostine, P.C.</w:t>
      </w:r>
      <w:r w:rsidRPr="00061A11">
        <w:t xml:space="preserve"> </w:t>
      </w:r>
      <w:r w:rsidRPr="00061A11">
        <w:tab/>
      </w:r>
      <w:r w:rsidRPr="00061A11">
        <w:tab/>
      </w:r>
    </w:p>
    <w:p w:rsidR="000D3A75" w:rsidRPr="00061A11" w:rsidRDefault="004576D0" w:rsidP="000D3A75">
      <w:r w:rsidRPr="00061A11">
        <w:rPr>
          <w:sz w:val="28"/>
          <w:szCs w:val="32"/>
        </w:rPr>
        <w:t>One Boston Place</w:t>
      </w:r>
      <w:r w:rsidRPr="00061A11">
        <w:rPr>
          <w:sz w:val="28"/>
          <w:szCs w:val="32"/>
        </w:rPr>
        <w:tab/>
      </w:r>
      <w:r w:rsidRPr="00061A11">
        <w:rPr>
          <w:sz w:val="28"/>
          <w:szCs w:val="32"/>
        </w:rPr>
        <w:tab/>
      </w:r>
      <w:r w:rsidRPr="00061A11">
        <w:rPr>
          <w:sz w:val="28"/>
          <w:szCs w:val="32"/>
        </w:rPr>
        <w:tab/>
      </w:r>
      <w:r w:rsidRPr="00061A11">
        <w:rPr>
          <w:sz w:val="28"/>
          <w:szCs w:val="32"/>
        </w:rPr>
        <w:tab/>
      </w:r>
      <w:r w:rsidRPr="00061A11">
        <w:rPr>
          <w:sz w:val="28"/>
          <w:szCs w:val="32"/>
        </w:rPr>
        <w:tab/>
      </w:r>
    </w:p>
    <w:p w:rsidR="000D3A75" w:rsidRPr="00061A11" w:rsidRDefault="004576D0" w:rsidP="000D3A75">
      <w:pPr>
        <w:rPr>
          <w:sz w:val="28"/>
          <w:szCs w:val="32"/>
        </w:rPr>
      </w:pPr>
      <w:r w:rsidRPr="00061A11">
        <w:rPr>
          <w:sz w:val="28"/>
          <w:szCs w:val="32"/>
        </w:rPr>
        <w:t>Boston, MA  02108</w:t>
      </w:r>
      <w:r w:rsidRPr="00061A11">
        <w:rPr>
          <w:sz w:val="28"/>
          <w:szCs w:val="32"/>
        </w:rPr>
        <w:tab/>
      </w:r>
      <w:r w:rsidRPr="00061A11">
        <w:rPr>
          <w:sz w:val="28"/>
          <w:szCs w:val="32"/>
        </w:rPr>
        <w:tab/>
      </w:r>
      <w:r w:rsidRPr="00061A11">
        <w:rPr>
          <w:sz w:val="28"/>
          <w:szCs w:val="32"/>
        </w:rPr>
        <w:tab/>
      </w:r>
      <w:r w:rsidRPr="00061A11">
        <w:rPr>
          <w:sz w:val="28"/>
          <w:szCs w:val="32"/>
        </w:rPr>
        <w:tab/>
      </w:r>
    </w:p>
    <w:p w:rsidR="000D3A75" w:rsidRPr="00061A11" w:rsidRDefault="004576D0" w:rsidP="000D3A75">
      <w:pPr>
        <w:rPr>
          <w:sz w:val="28"/>
          <w:szCs w:val="32"/>
        </w:rPr>
      </w:pPr>
      <w:r w:rsidRPr="00061A11">
        <w:rPr>
          <w:sz w:val="28"/>
          <w:szCs w:val="32"/>
        </w:rPr>
        <w:t>www.davismalm.com</w:t>
      </w:r>
    </w:p>
    <w:p w:rsidR="000D3A75" w:rsidRPr="00061A11" w:rsidRDefault="000D3A75" w:rsidP="000D3A75"/>
    <w:p w:rsidR="000D3A75" w:rsidRPr="002A212D" w:rsidRDefault="002A212D" w:rsidP="000D3A75">
      <w:pPr>
        <w:jc w:val="both"/>
        <w:rPr>
          <w:b/>
          <w:bCs/>
          <w:sz w:val="28"/>
          <w:szCs w:val="28"/>
        </w:rPr>
      </w:pPr>
      <w:r w:rsidRPr="002A212D">
        <w:rPr>
          <w:b/>
          <w:bCs/>
          <w:sz w:val="28"/>
          <w:szCs w:val="28"/>
        </w:rPr>
        <w:t>FOR IMMEDIATE RELEASE</w:t>
      </w:r>
    </w:p>
    <w:p w:rsidR="000D3A75" w:rsidRDefault="000D3A75" w:rsidP="000D3A75">
      <w:pPr>
        <w:jc w:val="center"/>
        <w:rPr>
          <w:b/>
          <w:bCs/>
          <w:sz w:val="28"/>
          <w:szCs w:val="28"/>
        </w:rPr>
      </w:pPr>
    </w:p>
    <w:p w:rsidR="000D3A75" w:rsidRDefault="004576D0" w:rsidP="000D3A75">
      <w:pPr>
        <w:jc w:val="center"/>
        <w:rPr>
          <w:b/>
          <w:bCs/>
          <w:sz w:val="28"/>
          <w:szCs w:val="28"/>
        </w:rPr>
      </w:pPr>
      <w:bookmarkStart w:id="1" w:name="_Hlk487323139"/>
      <w:r w:rsidRPr="00F93BB7">
        <w:rPr>
          <w:b/>
          <w:bCs/>
          <w:sz w:val="28"/>
          <w:szCs w:val="28"/>
        </w:rPr>
        <w:t xml:space="preserve">Davis Malm </w:t>
      </w:r>
      <w:r w:rsidR="00522A02">
        <w:rPr>
          <w:b/>
          <w:bCs/>
          <w:sz w:val="28"/>
          <w:szCs w:val="28"/>
        </w:rPr>
        <w:t>Launches Cannabis Law Practice</w:t>
      </w:r>
      <w:r w:rsidRPr="00F93BB7">
        <w:rPr>
          <w:b/>
          <w:bCs/>
          <w:sz w:val="28"/>
          <w:szCs w:val="28"/>
        </w:rPr>
        <w:t xml:space="preserve"> </w:t>
      </w:r>
    </w:p>
    <w:p w:rsidR="000D3A75" w:rsidRPr="00F93BB7" w:rsidRDefault="000D3A75" w:rsidP="000D3A75">
      <w:pPr>
        <w:jc w:val="center"/>
        <w:rPr>
          <w:b/>
          <w:bCs/>
          <w:sz w:val="28"/>
          <w:szCs w:val="28"/>
        </w:rPr>
      </w:pPr>
    </w:p>
    <w:p w:rsidR="00522A02" w:rsidRDefault="002A212D" w:rsidP="00522A02">
      <w:pPr>
        <w:pStyle w:val="BodyText"/>
        <w:rPr>
          <w:rFonts w:ascii="Times New Roman" w:hAnsi="Times New Roman"/>
          <w:noProof/>
        </w:rPr>
      </w:pPr>
      <w:r>
        <w:rPr>
          <w:rFonts w:ascii="Times New Roman" w:hAnsi="Times New Roman"/>
          <w:b/>
          <w:bCs/>
        </w:rPr>
        <w:t>Boston, MA, July 11</w:t>
      </w:r>
      <w:r w:rsidR="004576D0">
        <w:rPr>
          <w:rFonts w:ascii="Times New Roman" w:hAnsi="Times New Roman"/>
          <w:b/>
        </w:rPr>
        <w:t>, 2017</w:t>
      </w:r>
      <w:r w:rsidR="004576D0" w:rsidRPr="00F93BB7">
        <w:rPr>
          <w:rFonts w:ascii="Times New Roman" w:hAnsi="Times New Roman"/>
          <w:b/>
        </w:rPr>
        <w:t xml:space="preserve"> –</w:t>
      </w:r>
      <w:r w:rsidR="004576D0">
        <w:rPr>
          <w:rFonts w:ascii="Times New Roman" w:hAnsi="Times New Roman"/>
        </w:rPr>
        <w:t xml:space="preserve"> </w:t>
      </w:r>
      <w:r w:rsidR="00522A02">
        <w:rPr>
          <w:rFonts w:ascii="Times New Roman" w:hAnsi="Times New Roman"/>
        </w:rPr>
        <w:t xml:space="preserve">Boston law firm </w:t>
      </w:r>
      <w:hyperlink r:id="rId8" w:history="1">
        <w:r w:rsidR="004576D0" w:rsidRPr="001D042B">
          <w:rPr>
            <w:rStyle w:val="Hyperlink"/>
            <w:rFonts w:ascii="Times New Roman" w:hAnsi="Times New Roman"/>
            <w:noProof/>
          </w:rPr>
          <w:t>Davis, Malm &amp; D’Agostine, P.C.</w:t>
        </w:r>
      </w:hyperlink>
      <w:r w:rsidR="004576D0" w:rsidRPr="00F93BB7">
        <w:rPr>
          <w:rFonts w:ascii="Times New Roman" w:hAnsi="Times New Roman"/>
          <w:noProof/>
        </w:rPr>
        <w:t xml:space="preserve"> </w:t>
      </w:r>
      <w:r w:rsidR="00522A02">
        <w:rPr>
          <w:rFonts w:ascii="Times New Roman" w:hAnsi="Times New Roman"/>
          <w:noProof/>
        </w:rPr>
        <w:t xml:space="preserve">announces that it has established a dedicated practice area to meet the specialized needs of </w:t>
      </w:r>
      <w:r w:rsidR="00B77613">
        <w:rPr>
          <w:rFonts w:ascii="Times New Roman" w:hAnsi="Times New Roman"/>
          <w:noProof/>
        </w:rPr>
        <w:t>the rapidly evolving</w:t>
      </w:r>
      <w:r w:rsidR="005A49F6">
        <w:rPr>
          <w:rFonts w:ascii="Times New Roman" w:hAnsi="Times New Roman"/>
          <w:noProof/>
        </w:rPr>
        <w:t xml:space="preserve"> and highly </w:t>
      </w:r>
      <w:r w:rsidR="00980424">
        <w:rPr>
          <w:rFonts w:ascii="Times New Roman" w:hAnsi="Times New Roman"/>
          <w:noProof/>
        </w:rPr>
        <w:t>regulated</w:t>
      </w:r>
      <w:r w:rsidR="00522A02">
        <w:rPr>
          <w:rFonts w:ascii="Times New Roman" w:hAnsi="Times New Roman"/>
          <w:noProof/>
        </w:rPr>
        <w:t xml:space="preserve"> cannabis industry. </w:t>
      </w:r>
      <w:r w:rsidR="005A49F6">
        <w:rPr>
          <w:rFonts w:ascii="Times New Roman" w:hAnsi="Times New Roman"/>
          <w:noProof/>
        </w:rPr>
        <w:t>Davis Malm attorneys in the Canna</w:t>
      </w:r>
      <w:r w:rsidR="00B77613">
        <w:rPr>
          <w:rFonts w:ascii="Times New Roman" w:hAnsi="Times New Roman"/>
          <w:noProof/>
        </w:rPr>
        <w:t>b</w:t>
      </w:r>
      <w:r w:rsidR="005A49F6">
        <w:rPr>
          <w:rFonts w:ascii="Times New Roman" w:hAnsi="Times New Roman"/>
          <w:noProof/>
        </w:rPr>
        <w:t>is Law practice will represent</w:t>
      </w:r>
      <w:r w:rsidR="005A49F6" w:rsidRPr="00522A02">
        <w:rPr>
          <w:rFonts w:ascii="Times New Roman" w:hAnsi="Times New Roman"/>
          <w:noProof/>
        </w:rPr>
        <w:t xml:space="preserve"> </w:t>
      </w:r>
      <w:r w:rsidR="005A49F6">
        <w:rPr>
          <w:rFonts w:ascii="Times New Roman" w:hAnsi="Times New Roman"/>
          <w:noProof/>
        </w:rPr>
        <w:t xml:space="preserve">the full range of industry </w:t>
      </w:r>
      <w:r w:rsidR="00B77613">
        <w:rPr>
          <w:rFonts w:ascii="Times New Roman" w:hAnsi="Times New Roman"/>
          <w:noProof/>
        </w:rPr>
        <w:t xml:space="preserve">participants, from </w:t>
      </w:r>
      <w:r w:rsidR="005A49F6" w:rsidRPr="00522A02">
        <w:rPr>
          <w:rFonts w:ascii="Times New Roman" w:hAnsi="Times New Roman"/>
          <w:noProof/>
        </w:rPr>
        <w:t>start-up cannabis business</w:t>
      </w:r>
      <w:r w:rsidR="00B77613">
        <w:rPr>
          <w:rFonts w:ascii="Times New Roman" w:hAnsi="Times New Roman"/>
          <w:noProof/>
        </w:rPr>
        <w:t xml:space="preserve">es to </w:t>
      </w:r>
      <w:r w:rsidR="005A49F6">
        <w:rPr>
          <w:rFonts w:ascii="Times New Roman" w:hAnsi="Times New Roman"/>
          <w:noProof/>
        </w:rPr>
        <w:t>companies</w:t>
      </w:r>
      <w:r w:rsidR="005A49F6" w:rsidRPr="00522A02">
        <w:rPr>
          <w:rFonts w:ascii="Times New Roman" w:hAnsi="Times New Roman"/>
          <w:noProof/>
        </w:rPr>
        <w:t xml:space="preserve"> providing goods and services to the cannabis market</w:t>
      </w:r>
      <w:r w:rsidR="00B77613">
        <w:rPr>
          <w:rFonts w:ascii="Times New Roman" w:hAnsi="Times New Roman"/>
          <w:noProof/>
        </w:rPr>
        <w:t>, as well as</w:t>
      </w:r>
      <w:r w:rsidR="005A49F6" w:rsidRPr="00522A02">
        <w:rPr>
          <w:rFonts w:ascii="Times New Roman" w:hAnsi="Times New Roman"/>
          <w:noProof/>
        </w:rPr>
        <w:t xml:space="preserve"> investor</w:t>
      </w:r>
      <w:r w:rsidR="005A49F6">
        <w:rPr>
          <w:rFonts w:ascii="Times New Roman" w:hAnsi="Times New Roman"/>
          <w:noProof/>
        </w:rPr>
        <w:t>s</w:t>
      </w:r>
      <w:r w:rsidR="00B77613">
        <w:rPr>
          <w:rFonts w:ascii="Times New Roman" w:hAnsi="Times New Roman"/>
          <w:noProof/>
        </w:rPr>
        <w:t xml:space="preserve">. </w:t>
      </w:r>
      <w:r w:rsidR="00980424">
        <w:rPr>
          <w:rFonts w:ascii="Times New Roman" w:hAnsi="Times New Roman"/>
          <w:noProof/>
        </w:rPr>
        <w:t xml:space="preserve">The new </w:t>
      </w:r>
      <w:r w:rsidR="00980424" w:rsidRPr="00980424">
        <w:rPr>
          <w:rFonts w:ascii="Times New Roman" w:hAnsi="Times New Roman"/>
          <w:noProof/>
        </w:rPr>
        <w:t xml:space="preserve">practice </w:t>
      </w:r>
      <w:r w:rsidR="00980424">
        <w:rPr>
          <w:rFonts w:ascii="Times New Roman" w:hAnsi="Times New Roman"/>
          <w:noProof/>
        </w:rPr>
        <w:t xml:space="preserve">area </w:t>
      </w:r>
      <w:r w:rsidR="00980424" w:rsidRPr="00980424">
        <w:rPr>
          <w:rFonts w:ascii="Times New Roman" w:hAnsi="Times New Roman"/>
          <w:noProof/>
        </w:rPr>
        <w:t>will span the breadth of the fi</w:t>
      </w:r>
      <w:r w:rsidR="005A49F6">
        <w:rPr>
          <w:rFonts w:ascii="Times New Roman" w:hAnsi="Times New Roman"/>
          <w:noProof/>
        </w:rPr>
        <w:t>rm’s substantive expertise</w:t>
      </w:r>
      <w:r w:rsidR="00B77613">
        <w:rPr>
          <w:rFonts w:ascii="Times New Roman" w:hAnsi="Times New Roman"/>
          <w:noProof/>
        </w:rPr>
        <w:t xml:space="preserve"> to provide key services to clients</w:t>
      </w:r>
      <w:r w:rsidR="005A49F6">
        <w:rPr>
          <w:rFonts w:ascii="Times New Roman" w:hAnsi="Times New Roman"/>
          <w:noProof/>
        </w:rPr>
        <w:t>, including:</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Bu</w:t>
      </w:r>
      <w:r>
        <w:rPr>
          <w:rFonts w:ascii="Times New Roman" w:hAnsi="Times New Roman"/>
          <w:noProof/>
        </w:rPr>
        <w:t>siness formation and operations</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Dispensary licensing, permit</w:t>
      </w:r>
      <w:r>
        <w:rPr>
          <w:rFonts w:ascii="Times New Roman" w:hAnsi="Times New Roman"/>
          <w:noProof/>
        </w:rPr>
        <w:t>ting, and regulatory compliance</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Debt and equity financing, including private equity and venture capital t</w:t>
      </w:r>
      <w:r>
        <w:rPr>
          <w:rFonts w:ascii="Times New Roman" w:hAnsi="Times New Roman"/>
          <w:noProof/>
        </w:rPr>
        <w:t>ransactions, and joint ventures</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Tax advice concerning the use of charitable org</w:t>
      </w:r>
      <w:r w:rsidR="005A49F6" w:rsidRPr="00522A02">
        <w:rPr>
          <w:rFonts w:ascii="Times New Roman" w:hAnsi="Times New Roman"/>
          <w:noProof/>
        </w:rPr>
        <w:t>anizations under state law and federal tax law limitations on availa</w:t>
      </w:r>
      <w:r>
        <w:rPr>
          <w:rFonts w:ascii="Times New Roman" w:hAnsi="Times New Roman"/>
          <w:noProof/>
        </w:rPr>
        <w:t>ble business expense deductions</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Real estate a</w:t>
      </w:r>
      <w:r>
        <w:rPr>
          <w:rFonts w:ascii="Times New Roman" w:hAnsi="Times New Roman"/>
          <w:noProof/>
        </w:rPr>
        <w:t>cquisitions, sales, and leasing</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 xml:space="preserve">Real estate and environmental issues affecting developers, landlords, and tenants, including zoning, </w:t>
      </w:r>
      <w:r>
        <w:rPr>
          <w:rFonts w:ascii="Times New Roman" w:hAnsi="Times New Roman"/>
          <w:noProof/>
        </w:rPr>
        <w:t>permitting, and leasing</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Employment issues, including negotiating executive and employee contracts, non-competition agreements, and arrange</w:t>
      </w:r>
      <w:r>
        <w:rPr>
          <w:rFonts w:ascii="Times New Roman" w:hAnsi="Times New Roman"/>
          <w:noProof/>
        </w:rPr>
        <w:t>ments concerning trade secrets</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Implementing, auditing, and training related to employment policies and employee han</w:t>
      </w:r>
      <w:r w:rsidR="005A49F6" w:rsidRPr="00522A02">
        <w:rPr>
          <w:rFonts w:ascii="Times New Roman" w:hAnsi="Times New Roman"/>
          <w:noProof/>
        </w:rPr>
        <w:t>dbooks;</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 xml:space="preserve">Intellectual property, </w:t>
      </w:r>
      <w:r w:rsidR="005A49F6" w:rsidRPr="00522A02">
        <w:rPr>
          <w:rFonts w:ascii="Times New Roman" w:hAnsi="Times New Roman"/>
          <w:noProof/>
        </w:rPr>
        <w:t>including patent procurement on new tools for processing, cultivating, and delivering cannabis</w:t>
      </w:r>
      <w:r>
        <w:rPr>
          <w:rFonts w:ascii="Times New Roman" w:hAnsi="Times New Roman"/>
          <w:noProof/>
        </w:rPr>
        <w:t xml:space="preserve"> and thc (tetrahydrocannabinol), as well as trademark, infringement claims,</w:t>
      </w:r>
      <w:r w:rsidR="005A49F6" w:rsidRPr="00522A02">
        <w:rPr>
          <w:rFonts w:ascii="Times New Roman" w:hAnsi="Times New Roman"/>
          <w:noProof/>
        </w:rPr>
        <w:t xml:space="preserve"> and </w:t>
      </w:r>
      <w:r>
        <w:rPr>
          <w:rFonts w:ascii="Times New Roman" w:hAnsi="Times New Roman"/>
          <w:noProof/>
        </w:rPr>
        <w:t>brand management counsel</w:t>
      </w:r>
    </w:p>
    <w:p w:rsidR="005A49F6" w:rsidRPr="00522A02" w:rsidRDefault="00A35EF2" w:rsidP="005A49F6">
      <w:pPr>
        <w:pStyle w:val="BodyText"/>
        <w:numPr>
          <w:ilvl w:val="0"/>
          <w:numId w:val="1"/>
        </w:numPr>
        <w:spacing w:after="0"/>
        <w:rPr>
          <w:rFonts w:ascii="Times New Roman" w:hAnsi="Times New Roman"/>
          <w:noProof/>
        </w:rPr>
      </w:pPr>
      <w:r w:rsidRPr="00522A02">
        <w:rPr>
          <w:rFonts w:ascii="Times New Roman" w:hAnsi="Times New Roman"/>
          <w:noProof/>
        </w:rPr>
        <w:t>Information pri</w:t>
      </w:r>
      <w:r>
        <w:rPr>
          <w:rFonts w:ascii="Times New Roman" w:hAnsi="Times New Roman"/>
          <w:noProof/>
        </w:rPr>
        <w:t>vacy and data security planning</w:t>
      </w:r>
    </w:p>
    <w:p w:rsidR="005A49F6" w:rsidRDefault="005A49F6" w:rsidP="005A49F6">
      <w:pPr>
        <w:pStyle w:val="BodyText"/>
        <w:spacing w:after="0"/>
        <w:rPr>
          <w:rFonts w:ascii="Times New Roman" w:hAnsi="Times New Roman"/>
          <w:noProof/>
        </w:rPr>
      </w:pPr>
    </w:p>
    <w:p w:rsidR="005A49F6" w:rsidRPr="00B77613" w:rsidRDefault="00B77613" w:rsidP="005A49F6">
      <w:pPr>
        <w:pStyle w:val="BodyText"/>
        <w:rPr>
          <w:noProof/>
        </w:rPr>
      </w:pPr>
      <w:r w:rsidRPr="00B77613">
        <w:rPr>
          <w:rFonts w:ascii="Times New Roman" w:hAnsi="Times New Roman"/>
          <w:noProof/>
        </w:rPr>
        <w:t xml:space="preserve">Davis Malm President </w:t>
      </w:r>
      <w:hyperlink r:id="rId9" w:history="1">
        <w:r w:rsidRPr="00B77613">
          <w:rPr>
            <w:rStyle w:val="Hyperlink"/>
            <w:rFonts w:ascii="Times New Roman" w:hAnsi="Times New Roman"/>
            <w:noProof/>
          </w:rPr>
          <w:t>Paul Feldman</w:t>
        </w:r>
      </w:hyperlink>
      <w:r w:rsidRPr="00B77613">
        <w:rPr>
          <w:rFonts w:ascii="Times New Roman" w:hAnsi="Times New Roman"/>
          <w:noProof/>
        </w:rPr>
        <w:t xml:space="preserve"> said, “</w:t>
      </w:r>
      <w:r w:rsidR="000D3A75">
        <w:rPr>
          <w:rFonts w:ascii="Times New Roman" w:hAnsi="Times New Roman"/>
          <w:noProof/>
        </w:rPr>
        <w:t>We</w:t>
      </w:r>
      <w:r w:rsidR="000D3A75" w:rsidRPr="00522A02">
        <w:rPr>
          <w:rFonts w:ascii="Times New Roman" w:hAnsi="Times New Roman"/>
          <w:noProof/>
        </w:rPr>
        <w:t xml:space="preserve"> have represented clients in the highly</w:t>
      </w:r>
      <w:r w:rsidR="000D3A75">
        <w:rPr>
          <w:rFonts w:ascii="Times New Roman" w:hAnsi="Times New Roman"/>
          <w:noProof/>
        </w:rPr>
        <w:t xml:space="preserve"> </w:t>
      </w:r>
      <w:r w:rsidR="000D3A75" w:rsidRPr="00522A02">
        <w:rPr>
          <w:rFonts w:ascii="Times New Roman" w:hAnsi="Times New Roman"/>
          <w:noProof/>
        </w:rPr>
        <w:t xml:space="preserve">regulated cannabis industry </w:t>
      </w:r>
      <w:r w:rsidR="000D3A75">
        <w:rPr>
          <w:rFonts w:ascii="Times New Roman" w:hAnsi="Times New Roman"/>
          <w:noProof/>
        </w:rPr>
        <w:t>s</w:t>
      </w:r>
      <w:r w:rsidR="00522A02" w:rsidRPr="00522A02">
        <w:rPr>
          <w:rFonts w:ascii="Times New Roman" w:hAnsi="Times New Roman"/>
          <w:noProof/>
        </w:rPr>
        <w:t>ince 2012, when medical marijuana became legal in Massachusetts</w:t>
      </w:r>
      <w:r w:rsidR="000D3A75">
        <w:rPr>
          <w:rFonts w:ascii="Times New Roman" w:hAnsi="Times New Roman"/>
          <w:noProof/>
        </w:rPr>
        <w:t>.</w:t>
      </w:r>
      <w:r w:rsidR="00522A02" w:rsidRPr="00522A02">
        <w:rPr>
          <w:rFonts w:ascii="Times New Roman" w:hAnsi="Times New Roman"/>
          <w:noProof/>
        </w:rPr>
        <w:t xml:space="preserve"> </w:t>
      </w:r>
      <w:r w:rsidR="000D3A75">
        <w:rPr>
          <w:rFonts w:ascii="Times New Roman" w:hAnsi="Times New Roman"/>
          <w:noProof/>
        </w:rPr>
        <w:t>Our</w:t>
      </w:r>
      <w:r w:rsidR="00522A02" w:rsidRPr="00522A02">
        <w:rPr>
          <w:rFonts w:ascii="Times New Roman" w:hAnsi="Times New Roman"/>
          <w:noProof/>
        </w:rPr>
        <w:t xml:space="preserve"> practice continued to grow with the legalization of recreational marijuana use</w:t>
      </w:r>
      <w:r w:rsidR="000D3A75">
        <w:rPr>
          <w:rFonts w:ascii="Times New Roman" w:hAnsi="Times New Roman"/>
          <w:noProof/>
        </w:rPr>
        <w:t xml:space="preserve"> in 2016 and, a</w:t>
      </w:r>
      <w:r>
        <w:rPr>
          <w:rFonts w:ascii="Times New Roman" w:hAnsi="Times New Roman"/>
          <w:noProof/>
        </w:rPr>
        <w:t>s</w:t>
      </w:r>
      <w:r w:rsidR="00DE7246">
        <w:rPr>
          <w:rFonts w:ascii="Times New Roman" w:hAnsi="Times New Roman"/>
          <w:noProof/>
        </w:rPr>
        <w:t xml:space="preserve"> the cannabis industry continue</w:t>
      </w:r>
      <w:r w:rsidR="000D3A75">
        <w:rPr>
          <w:rFonts w:ascii="Times New Roman" w:hAnsi="Times New Roman"/>
          <w:noProof/>
        </w:rPr>
        <w:t>s</w:t>
      </w:r>
      <w:r>
        <w:rPr>
          <w:rFonts w:ascii="Times New Roman" w:hAnsi="Times New Roman"/>
          <w:noProof/>
        </w:rPr>
        <w:t xml:space="preserve"> to expand, we </w:t>
      </w:r>
      <w:r w:rsidR="000D3A75">
        <w:rPr>
          <w:rFonts w:ascii="Times New Roman" w:hAnsi="Times New Roman"/>
          <w:noProof/>
        </w:rPr>
        <w:t xml:space="preserve">see </w:t>
      </w:r>
      <w:r>
        <w:rPr>
          <w:rFonts w:ascii="Times New Roman" w:hAnsi="Times New Roman"/>
          <w:noProof/>
        </w:rPr>
        <w:t>the need to establish a multidisciplinary team to help clients</w:t>
      </w:r>
      <w:r>
        <w:rPr>
          <w:noProof/>
        </w:rPr>
        <w:t xml:space="preserve"> </w:t>
      </w:r>
      <w:r>
        <w:rPr>
          <w:rFonts w:ascii="Times New Roman" w:hAnsi="Times New Roman"/>
          <w:noProof/>
        </w:rPr>
        <w:t>navigate</w:t>
      </w:r>
      <w:r w:rsidR="005A49F6" w:rsidRPr="00522A02">
        <w:rPr>
          <w:rFonts w:ascii="Times New Roman" w:hAnsi="Times New Roman"/>
          <w:noProof/>
        </w:rPr>
        <w:t xml:space="preserve"> this </w:t>
      </w:r>
      <w:r>
        <w:rPr>
          <w:rFonts w:ascii="Times New Roman" w:hAnsi="Times New Roman"/>
          <w:noProof/>
        </w:rPr>
        <w:t>emerging market</w:t>
      </w:r>
      <w:r w:rsidR="005A49F6" w:rsidRPr="00522A02">
        <w:rPr>
          <w:rFonts w:ascii="Times New Roman" w:hAnsi="Times New Roman"/>
          <w:noProof/>
        </w:rPr>
        <w:t>.</w:t>
      </w:r>
      <w:r>
        <w:rPr>
          <w:rFonts w:ascii="Times New Roman" w:hAnsi="Times New Roman"/>
          <w:noProof/>
        </w:rPr>
        <w:t>”</w:t>
      </w:r>
    </w:p>
    <w:p w:rsidR="000D3A75" w:rsidRPr="00F93BB7" w:rsidRDefault="004576D0" w:rsidP="000D3A75">
      <w:pPr>
        <w:rPr>
          <w:b/>
          <w:bCs/>
          <w:noProof/>
        </w:rPr>
      </w:pPr>
      <w:r w:rsidRPr="00F93BB7">
        <w:rPr>
          <w:b/>
          <w:bCs/>
          <w:noProof/>
        </w:rPr>
        <w:t>About Davis, Malm &amp; D’Agostine, P.C.</w:t>
      </w:r>
    </w:p>
    <w:p w:rsidR="000D3A75" w:rsidRDefault="004576D0" w:rsidP="000D3A75">
      <w:pPr>
        <w:rPr>
          <w:noProof/>
        </w:rPr>
      </w:pPr>
      <w:r w:rsidRPr="00F93BB7">
        <w:rPr>
          <w:noProof/>
        </w:rPr>
        <w:t xml:space="preserve">Founded in 1979, Davis Malm is a premier mid-sized, full-service New England firm. The firm provides sophisticated, cost-effective legal representation to local, national, and international public </w:t>
      </w:r>
      <w:r w:rsidRPr="00F93BB7">
        <w:rPr>
          <w:noProof/>
        </w:rPr>
        <w:lastRenderedPageBreak/>
        <w:t>and private businesses, institutions, and individuals in a wide spectrum of industries. The attorneys at the firm practice at the top level of the profession and deliver successful results to clients through direct partner involvement, responsive client service, and practical and creative problem solving. Davis Malm is the member firm for the International Lawyers Netwo</w:t>
      </w:r>
      <w:r>
        <w:rPr>
          <w:noProof/>
        </w:rPr>
        <w:t>rk representing Massachusetts and</w:t>
      </w:r>
      <w:r w:rsidRPr="00F93BB7">
        <w:rPr>
          <w:noProof/>
        </w:rPr>
        <w:t xml:space="preserve"> northern New England.</w:t>
      </w:r>
      <w:r>
        <w:rPr>
          <w:noProof/>
        </w:rPr>
        <w:t xml:space="preserve"> </w:t>
      </w:r>
    </w:p>
    <w:bookmarkEnd w:id="1"/>
    <w:p w:rsidR="000D3A75" w:rsidRDefault="004576D0" w:rsidP="000D3A75">
      <w:pPr>
        <w:jc w:val="center"/>
        <w:rPr>
          <w:noProof/>
        </w:rPr>
      </w:pPr>
      <w:r>
        <w:rPr>
          <w:noProof/>
        </w:rPr>
        <w:t>####</w:t>
      </w:r>
    </w:p>
    <w:sectPr w:rsidR="000D3A75">
      <w:footerReference w:type="even" r:id="rId10"/>
      <w:footerReference w:type="first" r:id="rId11"/>
      <w:pgSz w:w="12240" w:h="15840" w:code="1"/>
      <w:pgMar w:top="1008" w:right="1152" w:bottom="720" w:left="1152" w:header="1440" w:footer="3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92" w:rsidRDefault="00FA2292">
      <w:r>
        <w:separator/>
      </w:r>
    </w:p>
  </w:endnote>
  <w:endnote w:type="continuationSeparator" w:id="0">
    <w:p w:rsidR="00FA2292" w:rsidRDefault="00FA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oudyOlSt BT">
    <w:altName w:val="Cambria"/>
    <w:charset w:val="00"/>
    <w:family w:val="roman"/>
    <w:pitch w:val="variable"/>
    <w:sig w:usb0="00000087" w:usb1="00000000" w:usb2="00000000" w:usb3="00000000" w:csb0="0000001B"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2B" w:rsidRDefault="001D042B">
    <w:pPr>
      <w:pStyle w:val="DocID"/>
    </w:pPr>
    <w:r>
      <w:fldChar w:fldCharType="begin"/>
    </w:r>
    <w:r>
      <w:instrText xml:space="preserve">  DOCPROPERTY "CUS_DocIDChunk0" </w:instrText>
    </w:r>
    <w:r>
      <w:fldChar w:fldCharType="separate"/>
    </w:r>
    <w:r>
      <w:t>823177.2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42B" w:rsidRDefault="001D042B">
    <w:pPr>
      <w:pStyle w:val="DocID"/>
    </w:pPr>
    <w:r>
      <w:fldChar w:fldCharType="begin"/>
    </w:r>
    <w:r>
      <w:instrText xml:space="preserve">  DOCPROPERTY "CUS_DocIDChunk0" </w:instrText>
    </w:r>
    <w:r>
      <w:fldChar w:fldCharType="separate"/>
    </w:r>
    <w:r>
      <w:t>823177.2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92" w:rsidRDefault="00FA2292">
      <w:r>
        <w:separator/>
      </w:r>
    </w:p>
  </w:footnote>
  <w:footnote w:type="continuationSeparator" w:id="0">
    <w:p w:rsidR="00FA2292" w:rsidRDefault="00FA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06476"/>
    <w:multiLevelType w:val="hybridMultilevel"/>
    <w:tmpl w:val="8F38F606"/>
    <w:lvl w:ilvl="0" w:tplc="7D7ECCF2">
      <w:start w:val="1"/>
      <w:numFmt w:val="bullet"/>
      <w:lvlText w:val=""/>
      <w:lvlJc w:val="left"/>
      <w:pPr>
        <w:ind w:left="720" w:hanging="360"/>
      </w:pPr>
      <w:rPr>
        <w:rFonts w:ascii="Symbol" w:hAnsi="Symbol" w:hint="default"/>
      </w:rPr>
    </w:lvl>
    <w:lvl w:ilvl="1" w:tplc="D75C675A" w:tentative="1">
      <w:start w:val="1"/>
      <w:numFmt w:val="bullet"/>
      <w:lvlText w:val="o"/>
      <w:lvlJc w:val="left"/>
      <w:pPr>
        <w:ind w:left="1440" w:hanging="360"/>
      </w:pPr>
      <w:rPr>
        <w:rFonts w:ascii="Courier New" w:hAnsi="Courier New" w:cs="Courier New" w:hint="default"/>
      </w:rPr>
    </w:lvl>
    <w:lvl w:ilvl="2" w:tplc="50680EAA" w:tentative="1">
      <w:start w:val="1"/>
      <w:numFmt w:val="bullet"/>
      <w:lvlText w:val=""/>
      <w:lvlJc w:val="left"/>
      <w:pPr>
        <w:ind w:left="2160" w:hanging="360"/>
      </w:pPr>
      <w:rPr>
        <w:rFonts w:ascii="Wingdings" w:hAnsi="Wingdings" w:hint="default"/>
      </w:rPr>
    </w:lvl>
    <w:lvl w:ilvl="3" w:tplc="107EEEBA" w:tentative="1">
      <w:start w:val="1"/>
      <w:numFmt w:val="bullet"/>
      <w:lvlText w:val=""/>
      <w:lvlJc w:val="left"/>
      <w:pPr>
        <w:ind w:left="2880" w:hanging="360"/>
      </w:pPr>
      <w:rPr>
        <w:rFonts w:ascii="Symbol" w:hAnsi="Symbol" w:hint="default"/>
      </w:rPr>
    </w:lvl>
    <w:lvl w:ilvl="4" w:tplc="ED82443A" w:tentative="1">
      <w:start w:val="1"/>
      <w:numFmt w:val="bullet"/>
      <w:lvlText w:val="o"/>
      <w:lvlJc w:val="left"/>
      <w:pPr>
        <w:ind w:left="3600" w:hanging="360"/>
      </w:pPr>
      <w:rPr>
        <w:rFonts w:ascii="Courier New" w:hAnsi="Courier New" w:cs="Courier New" w:hint="default"/>
      </w:rPr>
    </w:lvl>
    <w:lvl w:ilvl="5" w:tplc="F9A6EDD2" w:tentative="1">
      <w:start w:val="1"/>
      <w:numFmt w:val="bullet"/>
      <w:lvlText w:val=""/>
      <w:lvlJc w:val="left"/>
      <w:pPr>
        <w:ind w:left="4320" w:hanging="360"/>
      </w:pPr>
      <w:rPr>
        <w:rFonts w:ascii="Wingdings" w:hAnsi="Wingdings" w:hint="default"/>
      </w:rPr>
    </w:lvl>
    <w:lvl w:ilvl="6" w:tplc="0F5206A2" w:tentative="1">
      <w:start w:val="1"/>
      <w:numFmt w:val="bullet"/>
      <w:lvlText w:val=""/>
      <w:lvlJc w:val="left"/>
      <w:pPr>
        <w:ind w:left="5040" w:hanging="360"/>
      </w:pPr>
      <w:rPr>
        <w:rFonts w:ascii="Symbol" w:hAnsi="Symbol" w:hint="default"/>
      </w:rPr>
    </w:lvl>
    <w:lvl w:ilvl="7" w:tplc="CBF29B3E" w:tentative="1">
      <w:start w:val="1"/>
      <w:numFmt w:val="bullet"/>
      <w:lvlText w:val="o"/>
      <w:lvlJc w:val="left"/>
      <w:pPr>
        <w:ind w:left="5760" w:hanging="360"/>
      </w:pPr>
      <w:rPr>
        <w:rFonts w:ascii="Courier New" w:hAnsi="Courier New" w:cs="Courier New" w:hint="default"/>
      </w:rPr>
    </w:lvl>
    <w:lvl w:ilvl="8" w:tplc="27D8E82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7B"/>
    <w:rsid w:val="00006955"/>
    <w:rsid w:val="000D3A75"/>
    <w:rsid w:val="001D042B"/>
    <w:rsid w:val="001D7C06"/>
    <w:rsid w:val="002723F2"/>
    <w:rsid w:val="002A212D"/>
    <w:rsid w:val="004576D0"/>
    <w:rsid w:val="004B6FBF"/>
    <w:rsid w:val="00522A02"/>
    <w:rsid w:val="005A49F6"/>
    <w:rsid w:val="006802E5"/>
    <w:rsid w:val="006E401E"/>
    <w:rsid w:val="007632DC"/>
    <w:rsid w:val="00773C15"/>
    <w:rsid w:val="00980424"/>
    <w:rsid w:val="00A35EF2"/>
    <w:rsid w:val="00B77613"/>
    <w:rsid w:val="00C42203"/>
    <w:rsid w:val="00C87AD2"/>
    <w:rsid w:val="00D03DD7"/>
    <w:rsid w:val="00DB407B"/>
    <w:rsid w:val="00DE7246"/>
    <w:rsid w:val="00DF7893"/>
    <w:rsid w:val="00F91523"/>
    <w:rsid w:val="00FA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5AAC1"/>
  <w15:docId w15:val="{5B4624C0-5571-40BC-BCFE-DB250C2F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2F15"/>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2F15"/>
    <w:pPr>
      <w:tabs>
        <w:tab w:val="center" w:pos="4320"/>
        <w:tab w:val="right" w:pos="8640"/>
      </w:tabs>
    </w:pPr>
  </w:style>
  <w:style w:type="character" w:customStyle="1" w:styleId="HeaderChar">
    <w:name w:val="Header Char"/>
    <w:basedOn w:val="DefaultParagraphFont"/>
    <w:link w:val="Header"/>
    <w:rsid w:val="00672F15"/>
    <w:rPr>
      <w:rFonts w:ascii="Times New Roman" w:eastAsia="Times New Roman" w:hAnsi="Times New Roman" w:cs="Times New Roman"/>
    </w:rPr>
  </w:style>
  <w:style w:type="paragraph" w:styleId="BodyText">
    <w:name w:val="Body Text"/>
    <w:aliases w:val="bt"/>
    <w:basedOn w:val="Normal"/>
    <w:link w:val="BodyTextChar"/>
    <w:rsid w:val="00672F15"/>
    <w:pPr>
      <w:widowControl/>
      <w:autoSpaceDE/>
      <w:autoSpaceDN/>
      <w:adjustRightInd/>
      <w:spacing w:after="240"/>
    </w:pPr>
    <w:rPr>
      <w:rFonts w:ascii="GoudyOlSt BT" w:hAnsi="GoudyOlSt BT"/>
      <w:szCs w:val="20"/>
    </w:rPr>
  </w:style>
  <w:style w:type="character" w:customStyle="1" w:styleId="BodyTextChar">
    <w:name w:val="Body Text Char"/>
    <w:aliases w:val="bt Char"/>
    <w:basedOn w:val="DefaultParagraphFont"/>
    <w:link w:val="BodyText"/>
    <w:rsid w:val="00672F15"/>
    <w:rPr>
      <w:rFonts w:ascii="GoudyOlSt BT" w:eastAsia="Times New Roman" w:hAnsi="GoudyOlSt BT" w:cs="Times New Roman"/>
      <w:szCs w:val="20"/>
    </w:rPr>
  </w:style>
  <w:style w:type="paragraph" w:customStyle="1" w:styleId="DocID">
    <w:name w:val="DocID"/>
    <w:basedOn w:val="Footer"/>
    <w:next w:val="Footer"/>
    <w:link w:val="DocIDChar"/>
    <w:rsid w:val="00672F15"/>
    <w:pPr>
      <w:tabs>
        <w:tab w:val="clear" w:pos="4320"/>
        <w:tab w:val="clear" w:pos="8640"/>
      </w:tabs>
    </w:pPr>
    <w:rPr>
      <w:noProof/>
      <w:sz w:val="16"/>
    </w:rPr>
  </w:style>
  <w:style w:type="character" w:customStyle="1" w:styleId="DocIDChar">
    <w:name w:val="DocID Char"/>
    <w:basedOn w:val="DefaultParagraphFont"/>
    <w:link w:val="DocID"/>
    <w:rsid w:val="00672F15"/>
    <w:rPr>
      <w:rFonts w:ascii="Times New Roman" w:eastAsia="Times New Roman" w:hAnsi="Times New Roman" w:cs="Times New Roman"/>
      <w:noProof/>
      <w:sz w:val="16"/>
    </w:rPr>
  </w:style>
  <w:style w:type="paragraph" w:styleId="Footer">
    <w:name w:val="footer"/>
    <w:basedOn w:val="Normal"/>
    <w:link w:val="FooterChar"/>
    <w:uiPriority w:val="99"/>
    <w:unhideWhenUsed/>
    <w:rsid w:val="00672F15"/>
    <w:pPr>
      <w:tabs>
        <w:tab w:val="center" w:pos="4320"/>
        <w:tab w:val="right" w:pos="8640"/>
      </w:tabs>
    </w:pPr>
  </w:style>
  <w:style w:type="character" w:customStyle="1" w:styleId="FooterChar">
    <w:name w:val="Footer Char"/>
    <w:basedOn w:val="DefaultParagraphFont"/>
    <w:link w:val="Footer"/>
    <w:uiPriority w:val="99"/>
    <w:rsid w:val="00672F1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448DF"/>
    <w:rPr>
      <w:sz w:val="18"/>
      <w:szCs w:val="18"/>
    </w:rPr>
  </w:style>
  <w:style w:type="paragraph" w:styleId="CommentText">
    <w:name w:val="annotation text"/>
    <w:basedOn w:val="Normal"/>
    <w:link w:val="CommentTextChar"/>
    <w:uiPriority w:val="99"/>
    <w:semiHidden/>
    <w:unhideWhenUsed/>
    <w:rsid w:val="00E448DF"/>
  </w:style>
  <w:style w:type="character" w:customStyle="1" w:styleId="CommentTextChar">
    <w:name w:val="Comment Text Char"/>
    <w:basedOn w:val="DefaultParagraphFont"/>
    <w:link w:val="CommentText"/>
    <w:uiPriority w:val="99"/>
    <w:semiHidden/>
    <w:rsid w:val="00E448D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448DF"/>
    <w:rPr>
      <w:b/>
      <w:bCs/>
      <w:sz w:val="20"/>
      <w:szCs w:val="20"/>
    </w:rPr>
  </w:style>
  <w:style w:type="character" w:customStyle="1" w:styleId="CommentSubjectChar">
    <w:name w:val="Comment Subject Char"/>
    <w:basedOn w:val="CommentTextChar"/>
    <w:link w:val="CommentSubject"/>
    <w:uiPriority w:val="99"/>
    <w:semiHidden/>
    <w:rsid w:val="00E448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48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DF"/>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34465D"/>
    <w:rPr>
      <w:color w:val="800080" w:themeColor="followedHyperlink"/>
      <w:u w:val="single"/>
    </w:rPr>
  </w:style>
  <w:style w:type="character" w:styleId="Hyperlink">
    <w:name w:val="Hyperlink"/>
    <w:basedOn w:val="DefaultParagraphFont"/>
    <w:uiPriority w:val="99"/>
    <w:unhideWhenUsed/>
    <w:rsid w:val="00B77613"/>
    <w:rPr>
      <w:color w:val="0000FF" w:themeColor="hyperlink"/>
      <w:u w:val="single"/>
    </w:rPr>
  </w:style>
  <w:style w:type="character" w:customStyle="1" w:styleId="Mention1">
    <w:name w:val="Mention1"/>
    <w:basedOn w:val="DefaultParagraphFont"/>
    <w:uiPriority w:val="99"/>
    <w:semiHidden/>
    <w:unhideWhenUsed/>
    <w:rsid w:val="00B77613"/>
    <w:rPr>
      <w:color w:val="2B579A"/>
      <w:shd w:val="clear" w:color="auto" w:fill="E6E6E6"/>
    </w:rPr>
  </w:style>
  <w:style w:type="character" w:styleId="Mention">
    <w:name w:val="Mention"/>
    <w:basedOn w:val="DefaultParagraphFont"/>
    <w:uiPriority w:val="99"/>
    <w:semiHidden/>
    <w:unhideWhenUsed/>
    <w:rsid w:val="00D03D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smal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vismalm.com/?t=3&amp;A=7806&amp;format=xml&amp;p=7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Murray</dc:creator>
  <cp:lastModifiedBy>Lisa Murray</cp:lastModifiedBy>
  <cp:revision>6</cp:revision>
  <dcterms:created xsi:type="dcterms:W3CDTF">2017-06-27T18:35:00Z</dcterms:created>
  <dcterms:modified xsi:type="dcterms:W3CDTF">2017-07-09T04:24:00Z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823177.2</vt:lpwstr>
  </property>
  <property fmtid="{D5CDD505-2E9C-101B-9397-08002B2CF9AE}" pid="4" name="CUS_DocIDLocation">
    <vt:lpwstr>EVERY_PAGE</vt:lpwstr>
  </property>
  <property fmtid="{D5CDD505-2E9C-101B-9397-08002B2CF9AE}" pid="5" name="CUS_DocIDString">
    <vt:lpwstr>823177.2</vt:lpwstr>
  </property>
</Properties>
</file>