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6A47" w14:textId="77777777" w:rsidR="00A67971" w:rsidRDefault="008743DF">
      <w:bookmarkStart w:id="0" w:name="_GoBack"/>
      <w:bookmarkEnd w:id="0"/>
      <w:r>
        <w:rPr>
          <w:noProof/>
        </w:rPr>
        <w:drawing>
          <wp:inline distT="0" distB="0" distL="0" distR="0" wp14:anchorId="327EC843" wp14:editId="44D57B19">
            <wp:extent cx="5588635" cy="3764280"/>
            <wp:effectExtent l="0" t="0" r="24765" b="203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67971" w:rsidSect="00CB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DF"/>
    <w:rsid w:val="00443E9B"/>
    <w:rsid w:val="008743DF"/>
    <w:rsid w:val="00A67971"/>
    <w:rsid w:val="00CB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6F08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E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9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E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localhost/Users/cannice/Desktop/mark/VC%20Index/VCConfidenceIndex/Q1%202017%20Index/Cannice%20us%20vc%20chart%20q1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25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rPr>
              <a:t>Graph 1 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rPr>
              <a:t>Trend line of Venture Capitalists' Confidence </a:t>
            </a:r>
          </a:p>
          <a:p>
            <a:pPr>
              <a:defRPr sz="1525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rPr>
              <a:t>over the last 54 quarters</a:t>
            </a:r>
          </a:p>
        </c:rich>
      </c:tx>
      <c:layout>
        <c:manualLayout>
          <c:xMode val="edge"/>
          <c:yMode val="edge"/>
          <c:x val="0.28051391862955"/>
          <c:y val="0.0277777777777778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71306209850107"/>
          <c:y val="0.256173032537791"/>
          <c:w val="0.822269807280514"/>
          <c:h val="0.447531201421442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'06 1Q'!$A$2:$A$55</c:f>
              <c:strCache>
                <c:ptCount val="54"/>
                <c:pt idx="0">
                  <c:v>2004 Q1</c:v>
                </c:pt>
                <c:pt idx="1">
                  <c:v>Q2</c:v>
                </c:pt>
                <c:pt idx="2">
                  <c:v>Q3</c:v>
                </c:pt>
                <c:pt idx="3">
                  <c:v>Q4</c:v>
                </c:pt>
                <c:pt idx="4">
                  <c:v>2005 Q1</c:v>
                </c:pt>
                <c:pt idx="5">
                  <c:v>Q2</c:v>
                </c:pt>
                <c:pt idx="6">
                  <c:v>Q3</c:v>
                </c:pt>
                <c:pt idx="7">
                  <c:v>Q4</c:v>
                </c:pt>
                <c:pt idx="8">
                  <c:v>2006 Q1</c:v>
                </c:pt>
                <c:pt idx="9">
                  <c:v>Q2</c:v>
                </c:pt>
                <c:pt idx="10">
                  <c:v>Q3</c:v>
                </c:pt>
                <c:pt idx="11">
                  <c:v>Q4</c:v>
                </c:pt>
                <c:pt idx="12">
                  <c:v>2007 Q1</c:v>
                </c:pt>
                <c:pt idx="13">
                  <c:v>Q2</c:v>
                </c:pt>
                <c:pt idx="14">
                  <c:v>Q3</c:v>
                </c:pt>
                <c:pt idx="15">
                  <c:v>Q4</c:v>
                </c:pt>
                <c:pt idx="16">
                  <c:v>2008 Q1</c:v>
                </c:pt>
                <c:pt idx="17">
                  <c:v>Q2</c:v>
                </c:pt>
                <c:pt idx="18">
                  <c:v>Q3</c:v>
                </c:pt>
                <c:pt idx="19">
                  <c:v>Q4</c:v>
                </c:pt>
                <c:pt idx="20">
                  <c:v>2009 Q1</c:v>
                </c:pt>
                <c:pt idx="21">
                  <c:v>Q2</c:v>
                </c:pt>
                <c:pt idx="22">
                  <c:v>Q3</c:v>
                </c:pt>
                <c:pt idx="23">
                  <c:v>Q4</c:v>
                </c:pt>
                <c:pt idx="24">
                  <c:v>2010 Q1</c:v>
                </c:pt>
                <c:pt idx="25">
                  <c:v>Q2</c:v>
                </c:pt>
                <c:pt idx="26">
                  <c:v>Q3</c:v>
                </c:pt>
                <c:pt idx="27">
                  <c:v>Q4</c:v>
                </c:pt>
                <c:pt idx="28">
                  <c:v>2011 Q1</c:v>
                </c:pt>
                <c:pt idx="29">
                  <c:v>Q2</c:v>
                </c:pt>
                <c:pt idx="30">
                  <c:v>Q3</c:v>
                </c:pt>
                <c:pt idx="31">
                  <c:v>Q4</c:v>
                </c:pt>
                <c:pt idx="32">
                  <c:v>2012 Q1</c:v>
                </c:pt>
                <c:pt idx="33">
                  <c:v>Q2</c:v>
                </c:pt>
                <c:pt idx="34">
                  <c:v>Q3</c:v>
                </c:pt>
                <c:pt idx="35">
                  <c:v>Q4</c:v>
                </c:pt>
                <c:pt idx="36">
                  <c:v>2013 Q1</c:v>
                </c:pt>
                <c:pt idx="37">
                  <c:v>Q2</c:v>
                </c:pt>
                <c:pt idx="38">
                  <c:v>Q3</c:v>
                </c:pt>
                <c:pt idx="39">
                  <c:v>Q4</c:v>
                </c:pt>
                <c:pt idx="40">
                  <c:v>2014 Q1</c:v>
                </c:pt>
                <c:pt idx="41">
                  <c:v>Q2</c:v>
                </c:pt>
                <c:pt idx="42">
                  <c:v>Q3</c:v>
                </c:pt>
                <c:pt idx="43">
                  <c:v>Q4</c:v>
                </c:pt>
                <c:pt idx="44">
                  <c:v>2015 Q1</c:v>
                </c:pt>
                <c:pt idx="45">
                  <c:v>Q2</c:v>
                </c:pt>
                <c:pt idx="46">
                  <c:v>Q3</c:v>
                </c:pt>
                <c:pt idx="47">
                  <c:v>Q4</c:v>
                </c:pt>
                <c:pt idx="48">
                  <c:v>2016 Q1</c:v>
                </c:pt>
                <c:pt idx="49">
                  <c:v>Q2</c:v>
                </c:pt>
                <c:pt idx="50">
                  <c:v>Q3</c:v>
                </c:pt>
                <c:pt idx="51">
                  <c:v>Q4</c:v>
                </c:pt>
                <c:pt idx="52">
                  <c:v>2017 Q1</c:v>
                </c:pt>
                <c:pt idx="53">
                  <c:v>Q2</c:v>
                </c:pt>
              </c:strCache>
            </c:strRef>
          </c:cat>
          <c:val>
            <c:numRef>
              <c:f>'06 1Q'!$B$2:$B$55</c:f>
              <c:numCache>
                <c:formatCode>General</c:formatCode>
                <c:ptCount val="54"/>
                <c:pt idx="0">
                  <c:v>4.3</c:v>
                </c:pt>
                <c:pt idx="1">
                  <c:v>4.1</c:v>
                </c:pt>
                <c:pt idx="2">
                  <c:v>4.05</c:v>
                </c:pt>
                <c:pt idx="3">
                  <c:v>3.97</c:v>
                </c:pt>
                <c:pt idx="4">
                  <c:v>3.96</c:v>
                </c:pt>
                <c:pt idx="5">
                  <c:v>4.13</c:v>
                </c:pt>
                <c:pt idx="6">
                  <c:v>3.97</c:v>
                </c:pt>
                <c:pt idx="7">
                  <c:v>3.97</c:v>
                </c:pt>
                <c:pt idx="8">
                  <c:v>4.149999999999999</c:v>
                </c:pt>
                <c:pt idx="9">
                  <c:v>3.88</c:v>
                </c:pt>
                <c:pt idx="10">
                  <c:v>3.78</c:v>
                </c:pt>
                <c:pt idx="11">
                  <c:v>3.89</c:v>
                </c:pt>
                <c:pt idx="12">
                  <c:v>4.38</c:v>
                </c:pt>
                <c:pt idx="13">
                  <c:v>4.149999999999999</c:v>
                </c:pt>
                <c:pt idx="14">
                  <c:v>4.14</c:v>
                </c:pt>
                <c:pt idx="15">
                  <c:v>3.54</c:v>
                </c:pt>
                <c:pt idx="16">
                  <c:v>3.22</c:v>
                </c:pt>
                <c:pt idx="17">
                  <c:v>3.07</c:v>
                </c:pt>
                <c:pt idx="18">
                  <c:v>2.89</c:v>
                </c:pt>
                <c:pt idx="19">
                  <c:v>2.77</c:v>
                </c:pt>
                <c:pt idx="20">
                  <c:v>3.03</c:v>
                </c:pt>
                <c:pt idx="21">
                  <c:v>3.37</c:v>
                </c:pt>
                <c:pt idx="22">
                  <c:v>3.37</c:v>
                </c:pt>
                <c:pt idx="23">
                  <c:v>3.48</c:v>
                </c:pt>
                <c:pt idx="24">
                  <c:v>3.65</c:v>
                </c:pt>
                <c:pt idx="25">
                  <c:v>3.28</c:v>
                </c:pt>
                <c:pt idx="26">
                  <c:v>3.7</c:v>
                </c:pt>
                <c:pt idx="27">
                  <c:v>3.75</c:v>
                </c:pt>
                <c:pt idx="28">
                  <c:v>3.91</c:v>
                </c:pt>
                <c:pt idx="29">
                  <c:v>3.66</c:v>
                </c:pt>
                <c:pt idx="30">
                  <c:v>3.41</c:v>
                </c:pt>
                <c:pt idx="31">
                  <c:v>3.27</c:v>
                </c:pt>
                <c:pt idx="32">
                  <c:v>3.79</c:v>
                </c:pt>
                <c:pt idx="33">
                  <c:v>3.47</c:v>
                </c:pt>
                <c:pt idx="34">
                  <c:v>3.53</c:v>
                </c:pt>
                <c:pt idx="35">
                  <c:v>3.63</c:v>
                </c:pt>
                <c:pt idx="36">
                  <c:v>3.73</c:v>
                </c:pt>
                <c:pt idx="37">
                  <c:v>3.78</c:v>
                </c:pt>
                <c:pt idx="38">
                  <c:v>3.92</c:v>
                </c:pt>
                <c:pt idx="39">
                  <c:v>3.94</c:v>
                </c:pt>
                <c:pt idx="40">
                  <c:v>4.03</c:v>
                </c:pt>
                <c:pt idx="41">
                  <c:v>4.02</c:v>
                </c:pt>
                <c:pt idx="42">
                  <c:v>3.89</c:v>
                </c:pt>
                <c:pt idx="43">
                  <c:v>3.93</c:v>
                </c:pt>
                <c:pt idx="44">
                  <c:v>3.81</c:v>
                </c:pt>
                <c:pt idx="45">
                  <c:v>3.73</c:v>
                </c:pt>
                <c:pt idx="46">
                  <c:v>3.39</c:v>
                </c:pt>
                <c:pt idx="47">
                  <c:v>3.59</c:v>
                </c:pt>
                <c:pt idx="48">
                  <c:v>3.54</c:v>
                </c:pt>
                <c:pt idx="49">
                  <c:v>3.6</c:v>
                </c:pt>
                <c:pt idx="50">
                  <c:v>3.88</c:v>
                </c:pt>
                <c:pt idx="51">
                  <c:v>3.81</c:v>
                </c:pt>
                <c:pt idx="52">
                  <c:v>3.83</c:v>
                </c:pt>
                <c:pt idx="53">
                  <c:v>3.52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2084616"/>
        <c:axId val="2084286344"/>
      </c:lineChart>
      <c:catAx>
        <c:axId val="2082084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Unicode MS"/>
                    <a:ea typeface="Arial Unicode MS"/>
                    <a:cs typeface="Arial Unicode MS"/>
                  </a:defRPr>
                </a:pPr>
                <a:r>
                  <a:rPr lang="en-US"/>
                  <a:t>Time</a:t>
                </a:r>
              </a:p>
            </c:rich>
          </c:tx>
          <c:layout>
            <c:manualLayout>
              <c:xMode val="edge"/>
              <c:yMode val="edge"/>
              <c:x val="0.524625267665953"/>
              <c:y val="0.9074081364829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Unicode MS"/>
                <a:ea typeface="Arial Unicode MS"/>
                <a:cs typeface="Arial Unicode MS"/>
              </a:defRPr>
            </a:pPr>
            <a:endParaRPr lang="en-US"/>
          </a:p>
        </c:txPr>
        <c:crossAx val="2084286344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2084286344"/>
        <c:scaling>
          <c:orientation val="minMax"/>
          <c:max val="5.0"/>
          <c:min val="2.5"/>
        </c:scaling>
        <c:delete val="0"/>
        <c:axPos val="l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Unicode MS"/>
                    <a:ea typeface="Arial Unicode MS"/>
                    <a:cs typeface="Arial Unicode MS"/>
                  </a:defRPr>
                </a:pPr>
                <a:r>
                  <a:rPr lang="en-US"/>
                  <a:t>Confidence Index</a:t>
                </a:r>
              </a:p>
            </c:rich>
          </c:tx>
          <c:layout>
            <c:manualLayout>
              <c:xMode val="edge"/>
              <c:yMode val="edge"/>
              <c:x val="0.012847965738758"/>
              <c:y val="0.324074317099251"/>
            </c:manualLayout>
          </c:layout>
          <c:overlay val="0"/>
          <c:spPr>
            <a:noFill/>
            <a:ln w="3175">
              <a:solidFill>
                <a:srgbClr val="FFFFFF"/>
              </a:solidFill>
              <a:prstDash val="solid"/>
            </a:ln>
          </c:spPr>
        </c:title>
        <c:numFmt formatCode="General" sourceLinked="1"/>
        <c:majorTickMark val="out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Unicode MS"/>
                <a:ea typeface="Arial Unicode MS"/>
                <a:cs typeface="Arial Unicode MS"/>
              </a:defRPr>
            </a:pPr>
            <a:endParaRPr lang="en-US"/>
          </a:p>
        </c:txPr>
        <c:crossAx val="2082084616"/>
        <c:crosses val="autoZero"/>
        <c:crossBetween val="between"/>
      </c:valAx>
      <c:spPr>
        <a:solidFill>
          <a:srgbClr val="FFFF99"/>
        </a:solidFill>
        <a:ln w="12700">
          <a:solidFill>
            <a:srgbClr val="0000D4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University of San Francisco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Go Dons!</cp:lastModifiedBy>
  <cp:revision>2</cp:revision>
  <dcterms:created xsi:type="dcterms:W3CDTF">2017-08-01T01:39:00Z</dcterms:created>
  <dcterms:modified xsi:type="dcterms:W3CDTF">2017-08-01T01:39:00Z</dcterms:modified>
</cp:coreProperties>
</file>