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73E7D" w14:textId="77777777" w:rsidR="002460C1" w:rsidRPr="003913DB" w:rsidRDefault="003B670C" w:rsidP="003B670C">
      <w:pPr>
        <w:jc w:val="both"/>
        <w:rPr>
          <w:sz w:val="22"/>
          <w:szCs w:val="22"/>
        </w:rPr>
      </w:pPr>
      <w:r w:rsidRPr="00D47AF0">
        <w:rPr>
          <w:noProof/>
          <w:color w:val="0000FF"/>
        </w:rPr>
        <w:drawing>
          <wp:inline distT="0" distB="0" distL="0" distR="0" wp14:anchorId="7B1FB4E6" wp14:editId="0A6BC4AF">
            <wp:extent cx="2298489" cy="595222"/>
            <wp:effectExtent l="19050" t="0" r="6561" b="0"/>
            <wp:docPr id="2" name="Picture 1" descr="C:\Users\Dogus\Desktop\Working Directory\Documents and Settings\Owner\Working Directory\EnergyPoint Research\EPR Inc\EPR Corporate\EPR Corporate Logo\2014 Update\EP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gus\Desktop\Working Directory\Documents and Settings\Owner\Working Directory\EnergyPoint Research\EPR Inc\EPR Corporate\EPR Corporate Logo\2014 Update\EPR logo.png"/>
                    <pic:cNvPicPr>
                      <a:picLocks noChangeAspect="1" noChangeArrowheads="1"/>
                    </pic:cNvPicPr>
                  </pic:nvPicPr>
                  <pic:blipFill>
                    <a:blip r:embed="rId8" cstate="print"/>
                    <a:srcRect/>
                    <a:stretch>
                      <a:fillRect/>
                    </a:stretch>
                  </pic:blipFill>
                  <pic:spPr bwMode="auto">
                    <a:xfrm>
                      <a:off x="0" y="0"/>
                      <a:ext cx="2297967" cy="595087"/>
                    </a:xfrm>
                    <a:prstGeom prst="rect">
                      <a:avLst/>
                    </a:prstGeom>
                    <a:noFill/>
                    <a:ln w="9525">
                      <a:noFill/>
                      <a:miter lim="800000"/>
                      <a:headEnd/>
                      <a:tailEnd/>
                    </a:ln>
                  </pic:spPr>
                </pic:pic>
              </a:graphicData>
            </a:graphic>
          </wp:inline>
        </w:drawing>
      </w:r>
      <w:r w:rsidR="002460C1" w:rsidRPr="00D47AF0">
        <w:rPr>
          <w:color w:val="0000FF"/>
        </w:rPr>
        <w:tab/>
      </w:r>
      <w:r w:rsidR="00530EA2" w:rsidRPr="00D47AF0">
        <w:rPr>
          <w:color w:val="0000FF"/>
        </w:rPr>
        <w:tab/>
      </w:r>
      <w:r w:rsidR="002460C1" w:rsidRPr="003913DB">
        <w:rPr>
          <w:sz w:val="22"/>
          <w:szCs w:val="22"/>
        </w:rPr>
        <w:t>FOR IMMEDIATE RELEASE</w:t>
      </w:r>
    </w:p>
    <w:p w14:paraId="6314EF6A" w14:textId="77777777" w:rsidR="002460C1" w:rsidRPr="00D47AF0" w:rsidRDefault="002460C1">
      <w:pPr>
        <w:rPr>
          <w:color w:val="0000FF"/>
        </w:rPr>
      </w:pPr>
    </w:p>
    <w:p w14:paraId="3531A394" w14:textId="77777777" w:rsidR="003B670C" w:rsidRPr="00D47AF0" w:rsidRDefault="003B670C">
      <w:pPr>
        <w:rPr>
          <w:color w:val="0000FF"/>
        </w:rPr>
      </w:pPr>
    </w:p>
    <w:p w14:paraId="4C5D3816" w14:textId="77777777" w:rsidR="004E2915" w:rsidRPr="002D03C7" w:rsidRDefault="004E2915" w:rsidP="004E2915">
      <w:pPr>
        <w:ind w:right="-540"/>
        <w:rPr>
          <w:b/>
          <w:sz w:val="20"/>
          <w:szCs w:val="20"/>
        </w:rPr>
      </w:pPr>
      <w:r w:rsidRPr="002D03C7">
        <w:rPr>
          <w:b/>
          <w:sz w:val="20"/>
          <w:szCs w:val="20"/>
        </w:rPr>
        <w:t>For more information contact:</w:t>
      </w:r>
    </w:p>
    <w:p w14:paraId="2F3D7D3C" w14:textId="77777777" w:rsidR="004E2915" w:rsidRPr="002D03C7" w:rsidRDefault="004E2915" w:rsidP="004E2915">
      <w:pPr>
        <w:ind w:right="144"/>
        <w:rPr>
          <w:b/>
          <w:sz w:val="20"/>
          <w:szCs w:val="20"/>
        </w:rPr>
      </w:pPr>
      <w:r w:rsidRPr="002D03C7">
        <w:rPr>
          <w:sz w:val="20"/>
          <w:szCs w:val="20"/>
        </w:rPr>
        <w:t>EnergyPoint Research, Inc.</w:t>
      </w:r>
      <w:r w:rsidRPr="002D03C7">
        <w:rPr>
          <w:sz w:val="20"/>
          <w:szCs w:val="20"/>
        </w:rPr>
        <w:tab/>
      </w:r>
      <w:r w:rsidRPr="002D03C7">
        <w:rPr>
          <w:sz w:val="20"/>
          <w:szCs w:val="20"/>
        </w:rPr>
        <w:tab/>
      </w:r>
      <w:r w:rsidRPr="002D03C7">
        <w:rPr>
          <w:sz w:val="20"/>
          <w:szCs w:val="20"/>
        </w:rPr>
        <w:tab/>
      </w:r>
      <w:r w:rsidRPr="002D03C7">
        <w:rPr>
          <w:sz w:val="20"/>
          <w:szCs w:val="20"/>
        </w:rPr>
        <w:tab/>
      </w:r>
    </w:p>
    <w:p w14:paraId="64FA2715" w14:textId="77777777" w:rsidR="004E2915" w:rsidRPr="002D03C7" w:rsidRDefault="004E2915" w:rsidP="004E2915">
      <w:pPr>
        <w:ind w:right="144"/>
        <w:rPr>
          <w:sz w:val="20"/>
          <w:szCs w:val="20"/>
        </w:rPr>
      </w:pPr>
      <w:r w:rsidRPr="002D03C7">
        <w:rPr>
          <w:sz w:val="20"/>
          <w:szCs w:val="20"/>
        </w:rPr>
        <w:t>713-529-9450</w:t>
      </w:r>
      <w:r w:rsidRPr="002D03C7">
        <w:rPr>
          <w:sz w:val="20"/>
          <w:szCs w:val="20"/>
        </w:rPr>
        <w:tab/>
      </w:r>
    </w:p>
    <w:p w14:paraId="6BBA4AFC" w14:textId="77777777" w:rsidR="004E2915" w:rsidRPr="002D03C7" w:rsidRDefault="004E2915" w:rsidP="004E2915">
      <w:pPr>
        <w:ind w:right="144"/>
        <w:rPr>
          <w:sz w:val="20"/>
          <w:szCs w:val="20"/>
        </w:rPr>
      </w:pPr>
      <w:r w:rsidRPr="002D03C7">
        <w:rPr>
          <w:sz w:val="20"/>
          <w:szCs w:val="20"/>
        </w:rPr>
        <w:t>info@energypointresearch.com</w:t>
      </w:r>
    </w:p>
    <w:p w14:paraId="64DB9723" w14:textId="77777777" w:rsidR="004E2915" w:rsidRPr="002D03C7" w:rsidRDefault="004E2915" w:rsidP="004E2915">
      <w:pPr>
        <w:rPr>
          <w:color w:val="0000FF"/>
        </w:rPr>
      </w:pPr>
    </w:p>
    <w:p w14:paraId="574201A4" w14:textId="3F4AAAF5" w:rsidR="004E2915" w:rsidRPr="002D03C7" w:rsidRDefault="00C14E7C" w:rsidP="004E2915">
      <w:pPr>
        <w:jc w:val="center"/>
        <w:rPr>
          <w:b/>
          <w:color w:val="0000FF"/>
          <w:sz w:val="14"/>
          <w:u w:val="single"/>
        </w:rPr>
      </w:pPr>
      <w:r>
        <w:rPr>
          <w:b/>
          <w:color w:val="0000FF"/>
          <w:sz w:val="14"/>
          <w:u w:val="single"/>
        </w:rPr>
        <w:br/>
      </w:r>
    </w:p>
    <w:p w14:paraId="1A45C7F2" w14:textId="523B271E" w:rsidR="004E2915" w:rsidRDefault="007C2A11" w:rsidP="004E2915">
      <w:pPr>
        <w:jc w:val="center"/>
        <w:rPr>
          <w:b/>
          <w:caps/>
        </w:rPr>
      </w:pPr>
      <w:r>
        <w:rPr>
          <w:b/>
          <w:caps/>
        </w:rPr>
        <w:t xml:space="preserve">GLOBAL </w:t>
      </w:r>
      <w:r w:rsidR="004E2915" w:rsidRPr="002D03C7">
        <w:rPr>
          <w:b/>
          <w:caps/>
        </w:rPr>
        <w:t>SURVEY INDICATES OILFIELD SUPPLIERS</w:t>
      </w:r>
    </w:p>
    <w:p w14:paraId="021460D1" w14:textId="02BE0AE5" w:rsidR="004E2915" w:rsidRPr="002D03C7" w:rsidRDefault="008E68A0" w:rsidP="004E2915">
      <w:pPr>
        <w:jc w:val="center"/>
        <w:rPr>
          <w:b/>
          <w:caps/>
        </w:rPr>
      </w:pPr>
      <w:r>
        <w:rPr>
          <w:b/>
          <w:caps/>
        </w:rPr>
        <w:t xml:space="preserve">ARE </w:t>
      </w:r>
      <w:r w:rsidR="007C2A11">
        <w:rPr>
          <w:b/>
          <w:caps/>
        </w:rPr>
        <w:t xml:space="preserve">INCREASINGLY </w:t>
      </w:r>
      <w:r w:rsidR="006D3984">
        <w:rPr>
          <w:b/>
          <w:caps/>
        </w:rPr>
        <w:t>focused on</w:t>
      </w:r>
      <w:r w:rsidR="004E2915" w:rsidRPr="002D03C7">
        <w:rPr>
          <w:b/>
          <w:caps/>
        </w:rPr>
        <w:t xml:space="preserve"> </w:t>
      </w:r>
      <w:r w:rsidR="004E2915">
        <w:rPr>
          <w:b/>
          <w:caps/>
        </w:rPr>
        <w:t>customer satisfaction</w:t>
      </w:r>
    </w:p>
    <w:p w14:paraId="62D2D37E" w14:textId="77777777" w:rsidR="004E2915" w:rsidRPr="00C14E7C" w:rsidRDefault="004E2915" w:rsidP="004E2915">
      <w:pPr>
        <w:jc w:val="center"/>
        <w:rPr>
          <w:b/>
        </w:rPr>
      </w:pPr>
    </w:p>
    <w:p w14:paraId="4D087100" w14:textId="7979A20D" w:rsidR="004E2915" w:rsidRPr="002D03C7" w:rsidRDefault="004E2915" w:rsidP="004E2915">
      <w:pPr>
        <w:jc w:val="center"/>
        <w:rPr>
          <w:sz w:val="12"/>
          <w:szCs w:val="22"/>
        </w:rPr>
      </w:pPr>
      <w:r w:rsidRPr="002D03C7">
        <w:rPr>
          <w:b/>
          <w:i/>
          <w:sz w:val="23"/>
          <w:szCs w:val="23"/>
        </w:rPr>
        <w:t>Ensco, Helmerich &amp; Payne, Core Laboratories and Derrick Equipment</w:t>
      </w:r>
      <w:r w:rsidRPr="002D03C7">
        <w:rPr>
          <w:b/>
          <w:i/>
          <w:sz w:val="23"/>
          <w:szCs w:val="23"/>
        </w:rPr>
        <w:br/>
      </w:r>
      <w:r w:rsidR="00D24F07">
        <w:rPr>
          <w:b/>
          <w:i/>
          <w:sz w:val="23"/>
          <w:szCs w:val="23"/>
        </w:rPr>
        <w:t xml:space="preserve">Garner </w:t>
      </w:r>
      <w:r w:rsidRPr="002D03C7">
        <w:rPr>
          <w:b/>
          <w:i/>
          <w:sz w:val="23"/>
          <w:szCs w:val="23"/>
        </w:rPr>
        <w:t>Highest Ratings in Satisfaction</w:t>
      </w:r>
      <w:r w:rsidR="006D3984">
        <w:rPr>
          <w:b/>
          <w:i/>
          <w:sz w:val="23"/>
          <w:szCs w:val="23"/>
        </w:rPr>
        <w:t xml:space="preserve"> and Service</w:t>
      </w:r>
    </w:p>
    <w:p w14:paraId="0D9EABDB" w14:textId="5031B9C6" w:rsidR="003B5E63" w:rsidRPr="00972E68" w:rsidRDefault="005B4E6D" w:rsidP="006778C3">
      <w:pPr>
        <w:rPr>
          <w:sz w:val="22"/>
          <w:szCs w:val="22"/>
          <w:vertAlign w:val="subscript"/>
        </w:rPr>
      </w:pPr>
      <w:r w:rsidRPr="00D47AF0">
        <w:rPr>
          <w:color w:val="0000FF"/>
          <w:sz w:val="12"/>
          <w:szCs w:val="22"/>
        </w:rPr>
        <w:br/>
      </w:r>
      <w:r w:rsidR="006B5A5D" w:rsidRPr="00D47AF0">
        <w:rPr>
          <w:color w:val="0000FF"/>
          <w:sz w:val="22"/>
          <w:szCs w:val="22"/>
        </w:rPr>
        <w:br/>
      </w:r>
      <w:r w:rsidR="0016381E" w:rsidRPr="003B5E63">
        <w:rPr>
          <w:sz w:val="22"/>
          <w:szCs w:val="22"/>
        </w:rPr>
        <w:t>HOUSTON (</w:t>
      </w:r>
      <w:r w:rsidR="004E2915" w:rsidRPr="003B5E63">
        <w:rPr>
          <w:sz w:val="22"/>
          <w:szCs w:val="22"/>
        </w:rPr>
        <w:t>Feb.</w:t>
      </w:r>
      <w:r w:rsidR="003913DB" w:rsidRPr="003B5E63">
        <w:rPr>
          <w:sz w:val="22"/>
          <w:szCs w:val="22"/>
        </w:rPr>
        <w:t xml:space="preserve"> </w:t>
      </w:r>
      <w:r w:rsidR="004E2915" w:rsidRPr="003B5E63">
        <w:rPr>
          <w:sz w:val="22"/>
          <w:szCs w:val="22"/>
        </w:rPr>
        <w:t>7</w:t>
      </w:r>
      <w:r w:rsidR="003913DB" w:rsidRPr="003B5E63">
        <w:rPr>
          <w:sz w:val="22"/>
          <w:szCs w:val="22"/>
        </w:rPr>
        <w:t>, 201</w:t>
      </w:r>
      <w:r w:rsidR="004E2915" w:rsidRPr="003B5E63">
        <w:rPr>
          <w:sz w:val="22"/>
          <w:szCs w:val="22"/>
        </w:rPr>
        <w:t>8</w:t>
      </w:r>
      <w:r w:rsidR="003611EE" w:rsidRPr="003B5E63">
        <w:rPr>
          <w:sz w:val="22"/>
          <w:szCs w:val="22"/>
        </w:rPr>
        <w:t>)</w:t>
      </w:r>
      <w:r w:rsidR="00C7120C" w:rsidRPr="003B5E63">
        <w:rPr>
          <w:sz w:val="22"/>
          <w:szCs w:val="22"/>
        </w:rPr>
        <w:t> –</w:t>
      </w:r>
      <w:r w:rsidR="00101708" w:rsidRPr="003B5E63">
        <w:rPr>
          <w:sz w:val="22"/>
          <w:szCs w:val="22"/>
        </w:rPr>
        <w:t xml:space="preserve"> </w:t>
      </w:r>
      <w:r w:rsidR="003B5E63" w:rsidRPr="003B5E63">
        <w:rPr>
          <w:sz w:val="22"/>
          <w:szCs w:val="22"/>
        </w:rPr>
        <w:t>As upstream activity begin</w:t>
      </w:r>
      <w:r w:rsidR="00271E58">
        <w:rPr>
          <w:sz w:val="22"/>
          <w:szCs w:val="22"/>
        </w:rPr>
        <w:t>s</w:t>
      </w:r>
      <w:r w:rsidR="003B5E63" w:rsidRPr="003B5E63">
        <w:rPr>
          <w:sz w:val="22"/>
          <w:szCs w:val="22"/>
        </w:rPr>
        <w:t xml:space="preserve"> to </w:t>
      </w:r>
      <w:r w:rsidR="00271E58">
        <w:rPr>
          <w:sz w:val="22"/>
          <w:szCs w:val="22"/>
        </w:rPr>
        <w:t>accelerate</w:t>
      </w:r>
      <w:r w:rsidR="00073791">
        <w:rPr>
          <w:sz w:val="22"/>
          <w:szCs w:val="22"/>
        </w:rPr>
        <w:t xml:space="preserve">, </w:t>
      </w:r>
      <w:r w:rsidR="00271E58">
        <w:rPr>
          <w:sz w:val="22"/>
          <w:szCs w:val="22"/>
        </w:rPr>
        <w:t>spurred on</w:t>
      </w:r>
      <w:r w:rsidR="00073791">
        <w:rPr>
          <w:sz w:val="22"/>
          <w:szCs w:val="22"/>
        </w:rPr>
        <w:t xml:space="preserve"> by </w:t>
      </w:r>
      <w:r w:rsidR="003B5E63" w:rsidRPr="003B5E63">
        <w:rPr>
          <w:sz w:val="22"/>
          <w:szCs w:val="22"/>
        </w:rPr>
        <w:t>stronger commodity</w:t>
      </w:r>
      <w:r w:rsidR="00271E58">
        <w:rPr>
          <w:sz w:val="22"/>
          <w:szCs w:val="22"/>
        </w:rPr>
        <w:t xml:space="preserve"> </w:t>
      </w:r>
      <w:r w:rsidR="003B5E63" w:rsidRPr="003B5E63">
        <w:rPr>
          <w:sz w:val="22"/>
          <w:szCs w:val="22"/>
        </w:rPr>
        <w:t>price</w:t>
      </w:r>
      <w:r w:rsidR="00073791">
        <w:rPr>
          <w:sz w:val="22"/>
          <w:szCs w:val="22"/>
        </w:rPr>
        <w:t>s</w:t>
      </w:r>
      <w:r w:rsidR="003B5E63" w:rsidRPr="003B5E63">
        <w:rPr>
          <w:sz w:val="22"/>
          <w:szCs w:val="22"/>
        </w:rPr>
        <w:t xml:space="preserve"> </w:t>
      </w:r>
      <w:r w:rsidR="00073791">
        <w:rPr>
          <w:sz w:val="22"/>
          <w:szCs w:val="22"/>
        </w:rPr>
        <w:t xml:space="preserve">and </w:t>
      </w:r>
      <w:r w:rsidR="00FB193B">
        <w:rPr>
          <w:sz w:val="22"/>
          <w:szCs w:val="22"/>
        </w:rPr>
        <w:t xml:space="preserve">growing </w:t>
      </w:r>
      <w:r w:rsidR="00073791">
        <w:rPr>
          <w:sz w:val="22"/>
          <w:szCs w:val="22"/>
        </w:rPr>
        <w:t>rig counts</w:t>
      </w:r>
      <w:r w:rsidR="003B5E63" w:rsidRPr="003B5E63">
        <w:rPr>
          <w:sz w:val="22"/>
          <w:szCs w:val="22"/>
        </w:rPr>
        <w:t xml:space="preserve">, </w:t>
      </w:r>
      <w:r w:rsidR="00E27FA6">
        <w:rPr>
          <w:sz w:val="22"/>
          <w:szCs w:val="22"/>
        </w:rPr>
        <w:t xml:space="preserve">oil and gas industry </w:t>
      </w:r>
      <w:r w:rsidR="003B5E63" w:rsidRPr="003B5E63">
        <w:rPr>
          <w:sz w:val="22"/>
          <w:szCs w:val="22"/>
        </w:rPr>
        <w:t xml:space="preserve">suppliers are </w:t>
      </w:r>
      <w:r w:rsidR="001B0E75">
        <w:rPr>
          <w:sz w:val="22"/>
          <w:szCs w:val="22"/>
        </w:rPr>
        <w:t xml:space="preserve">increasingly </w:t>
      </w:r>
      <w:r w:rsidR="00073791">
        <w:rPr>
          <w:sz w:val="22"/>
          <w:szCs w:val="22"/>
        </w:rPr>
        <w:t>focus</w:t>
      </w:r>
      <w:r w:rsidR="001B0E75">
        <w:rPr>
          <w:sz w:val="22"/>
          <w:szCs w:val="22"/>
        </w:rPr>
        <w:t>ed</w:t>
      </w:r>
      <w:r w:rsidR="003B5E63" w:rsidRPr="003B5E63">
        <w:rPr>
          <w:sz w:val="22"/>
          <w:szCs w:val="22"/>
        </w:rPr>
        <w:t xml:space="preserve"> </w:t>
      </w:r>
      <w:r w:rsidR="00271E58">
        <w:rPr>
          <w:sz w:val="22"/>
          <w:szCs w:val="22"/>
        </w:rPr>
        <w:t xml:space="preserve">on providing </w:t>
      </w:r>
      <w:r w:rsidR="003B5E63" w:rsidRPr="003B5E63">
        <w:rPr>
          <w:sz w:val="22"/>
          <w:szCs w:val="22"/>
        </w:rPr>
        <w:t xml:space="preserve">customers </w:t>
      </w:r>
      <w:r w:rsidR="00271E58">
        <w:rPr>
          <w:sz w:val="22"/>
          <w:szCs w:val="22"/>
        </w:rPr>
        <w:t xml:space="preserve">with experiences </w:t>
      </w:r>
      <w:r w:rsidR="00766495">
        <w:rPr>
          <w:sz w:val="22"/>
          <w:szCs w:val="22"/>
        </w:rPr>
        <w:t xml:space="preserve">designed to </w:t>
      </w:r>
      <w:r w:rsidR="00271E58">
        <w:rPr>
          <w:sz w:val="22"/>
          <w:szCs w:val="22"/>
        </w:rPr>
        <w:t xml:space="preserve">encourage </w:t>
      </w:r>
      <w:r w:rsidR="00972E68">
        <w:rPr>
          <w:sz w:val="22"/>
          <w:szCs w:val="22"/>
        </w:rPr>
        <w:t xml:space="preserve">greater </w:t>
      </w:r>
      <w:r w:rsidR="00271E58">
        <w:rPr>
          <w:sz w:val="22"/>
          <w:szCs w:val="22"/>
        </w:rPr>
        <w:t xml:space="preserve">long-term loyalty </w:t>
      </w:r>
      <w:r w:rsidR="008E68A0">
        <w:rPr>
          <w:sz w:val="22"/>
          <w:szCs w:val="22"/>
        </w:rPr>
        <w:t xml:space="preserve">in </w:t>
      </w:r>
      <w:r w:rsidR="00EC2FC3">
        <w:rPr>
          <w:sz w:val="22"/>
          <w:szCs w:val="22"/>
        </w:rPr>
        <w:t xml:space="preserve">a highly competitive </w:t>
      </w:r>
      <w:r w:rsidR="00BC5B3F">
        <w:rPr>
          <w:sz w:val="22"/>
          <w:szCs w:val="22"/>
        </w:rPr>
        <w:t>environment</w:t>
      </w:r>
      <w:r w:rsidR="00271E58">
        <w:rPr>
          <w:sz w:val="22"/>
          <w:szCs w:val="22"/>
        </w:rPr>
        <w:t xml:space="preserve">, </w:t>
      </w:r>
      <w:r w:rsidR="003B5E63" w:rsidRPr="003B5E63">
        <w:rPr>
          <w:sz w:val="22"/>
          <w:szCs w:val="22"/>
        </w:rPr>
        <w:t xml:space="preserve">according </w:t>
      </w:r>
      <w:r w:rsidR="00ED2561">
        <w:rPr>
          <w:sz w:val="22"/>
          <w:szCs w:val="22"/>
        </w:rPr>
        <w:t xml:space="preserve">to </w:t>
      </w:r>
      <w:r w:rsidR="003B5E63" w:rsidRPr="003B5E63">
        <w:rPr>
          <w:sz w:val="22"/>
          <w:szCs w:val="22"/>
        </w:rPr>
        <w:t xml:space="preserve">results from EnergyPoint Research’s </w:t>
      </w:r>
      <w:r w:rsidR="00FB193B">
        <w:rPr>
          <w:sz w:val="22"/>
          <w:szCs w:val="22"/>
        </w:rPr>
        <w:t xml:space="preserve">latest </w:t>
      </w:r>
      <w:r w:rsidR="003B5E63" w:rsidRPr="003B5E63">
        <w:rPr>
          <w:sz w:val="22"/>
          <w:szCs w:val="22"/>
        </w:rPr>
        <w:t>Oilfield Products &amp; Services Customer Satisfaction Survey.</w:t>
      </w:r>
      <w:bookmarkStart w:id="0" w:name="_GoBack"/>
      <w:bookmarkEnd w:id="0"/>
    </w:p>
    <w:p w14:paraId="2A9B373D" w14:textId="77777777" w:rsidR="003B5E63" w:rsidRDefault="003B5E63" w:rsidP="006778C3">
      <w:pPr>
        <w:rPr>
          <w:color w:val="0000FF"/>
          <w:sz w:val="22"/>
          <w:szCs w:val="22"/>
        </w:rPr>
      </w:pPr>
    </w:p>
    <w:p w14:paraId="160E08F2" w14:textId="41D0FB3F" w:rsidR="00073791" w:rsidRPr="00073791" w:rsidRDefault="00073791" w:rsidP="00073791">
      <w:pPr>
        <w:rPr>
          <w:sz w:val="22"/>
          <w:szCs w:val="22"/>
        </w:rPr>
      </w:pPr>
      <w:r w:rsidRPr="00073791">
        <w:rPr>
          <w:sz w:val="22"/>
          <w:szCs w:val="22"/>
        </w:rPr>
        <w:t>Now i</w:t>
      </w:r>
      <w:r w:rsidR="004642B4">
        <w:rPr>
          <w:sz w:val="22"/>
          <w:szCs w:val="22"/>
        </w:rPr>
        <w:t>n</w:t>
      </w:r>
      <w:r w:rsidRPr="00073791">
        <w:rPr>
          <w:sz w:val="22"/>
          <w:szCs w:val="22"/>
        </w:rPr>
        <w:t xml:space="preserve"> its fourteenth year, EnergyPoint’s closely followed </w:t>
      </w:r>
      <w:r w:rsidR="00C91E3D">
        <w:rPr>
          <w:sz w:val="22"/>
          <w:szCs w:val="22"/>
        </w:rPr>
        <w:t xml:space="preserve">independent </w:t>
      </w:r>
      <w:r w:rsidRPr="00073791">
        <w:rPr>
          <w:sz w:val="22"/>
          <w:szCs w:val="22"/>
        </w:rPr>
        <w:t>survey is the only annual</w:t>
      </w:r>
      <w:r w:rsidR="00C91E3D">
        <w:rPr>
          <w:sz w:val="22"/>
          <w:szCs w:val="22"/>
        </w:rPr>
        <w:t xml:space="preserve"> </w:t>
      </w:r>
      <w:r w:rsidRPr="00073791">
        <w:rPr>
          <w:sz w:val="22"/>
          <w:szCs w:val="22"/>
        </w:rPr>
        <w:t xml:space="preserve">study focused on customers’ satisfaction with suppliers </w:t>
      </w:r>
      <w:r w:rsidR="00C91E3D">
        <w:rPr>
          <w:sz w:val="22"/>
          <w:szCs w:val="22"/>
        </w:rPr>
        <w:t xml:space="preserve">across </w:t>
      </w:r>
      <w:r w:rsidRPr="00073791">
        <w:rPr>
          <w:sz w:val="22"/>
          <w:szCs w:val="22"/>
        </w:rPr>
        <w:t>a full range of upstream products and services. The survey, which was concluded at the end of 2017, measure</w:t>
      </w:r>
      <w:r w:rsidR="00FB193B">
        <w:rPr>
          <w:sz w:val="22"/>
          <w:szCs w:val="22"/>
        </w:rPr>
        <w:t>d</w:t>
      </w:r>
      <w:r w:rsidRPr="00073791">
        <w:rPr>
          <w:sz w:val="22"/>
          <w:szCs w:val="22"/>
        </w:rPr>
        <w:t xml:space="preserve"> </w:t>
      </w:r>
      <w:r w:rsidR="00C91E3D">
        <w:rPr>
          <w:sz w:val="22"/>
          <w:szCs w:val="22"/>
        </w:rPr>
        <w:t xml:space="preserve">the </w:t>
      </w:r>
      <w:r w:rsidRPr="00073791">
        <w:rPr>
          <w:sz w:val="22"/>
          <w:szCs w:val="22"/>
        </w:rPr>
        <w:t xml:space="preserve">customer satisfaction </w:t>
      </w:r>
      <w:r w:rsidR="00C91E3D">
        <w:rPr>
          <w:sz w:val="22"/>
          <w:szCs w:val="22"/>
        </w:rPr>
        <w:t xml:space="preserve">of oil and gas industry </w:t>
      </w:r>
      <w:r w:rsidRPr="00073791">
        <w:rPr>
          <w:sz w:val="22"/>
          <w:szCs w:val="22"/>
        </w:rPr>
        <w:t>suppliers across a variety of attributes, categories and regions.</w:t>
      </w:r>
    </w:p>
    <w:p w14:paraId="4E27F994" w14:textId="77777777" w:rsidR="00073791" w:rsidRPr="003B5E63" w:rsidRDefault="00073791" w:rsidP="00073791">
      <w:pPr>
        <w:rPr>
          <w:color w:val="00B050"/>
          <w:sz w:val="22"/>
          <w:szCs w:val="22"/>
        </w:rPr>
      </w:pPr>
    </w:p>
    <w:p w14:paraId="14BA9827" w14:textId="14B61703" w:rsidR="003B5E63" w:rsidRPr="008A0B12" w:rsidRDefault="009F24E4" w:rsidP="00073791">
      <w:pPr>
        <w:rPr>
          <w:sz w:val="22"/>
          <w:szCs w:val="22"/>
        </w:rPr>
      </w:pPr>
      <w:r w:rsidRPr="008A0B12">
        <w:rPr>
          <w:sz w:val="22"/>
          <w:szCs w:val="22"/>
        </w:rPr>
        <w:t>Doug Sheridan, Managing Director of EnergyPoint Research</w:t>
      </w:r>
      <w:r>
        <w:rPr>
          <w:sz w:val="22"/>
          <w:szCs w:val="22"/>
        </w:rPr>
        <w:t xml:space="preserve">, </w:t>
      </w:r>
      <w:r w:rsidR="00C91E3D">
        <w:rPr>
          <w:sz w:val="22"/>
          <w:szCs w:val="22"/>
        </w:rPr>
        <w:t>commented</w:t>
      </w:r>
      <w:r>
        <w:rPr>
          <w:sz w:val="22"/>
          <w:szCs w:val="22"/>
        </w:rPr>
        <w:t xml:space="preserve">, </w:t>
      </w:r>
      <w:r w:rsidR="003B5E63" w:rsidRPr="008A0B12">
        <w:rPr>
          <w:sz w:val="22"/>
          <w:szCs w:val="22"/>
        </w:rPr>
        <w:t>“</w:t>
      </w:r>
      <w:r w:rsidR="00073791" w:rsidRPr="008A0B12">
        <w:rPr>
          <w:sz w:val="22"/>
          <w:szCs w:val="22"/>
        </w:rPr>
        <w:t xml:space="preserve">After </w:t>
      </w:r>
      <w:r w:rsidR="00FD25FE" w:rsidRPr="008A0B12">
        <w:rPr>
          <w:sz w:val="22"/>
          <w:szCs w:val="22"/>
        </w:rPr>
        <w:t xml:space="preserve">several </w:t>
      </w:r>
      <w:r w:rsidR="00073791" w:rsidRPr="008A0B12">
        <w:rPr>
          <w:sz w:val="22"/>
          <w:szCs w:val="22"/>
        </w:rPr>
        <w:t>years of reorgan</w:t>
      </w:r>
      <w:r w:rsidR="00FD25FE" w:rsidRPr="008A0B12">
        <w:rPr>
          <w:sz w:val="22"/>
          <w:szCs w:val="22"/>
        </w:rPr>
        <w:t>izations</w:t>
      </w:r>
      <w:r w:rsidR="008A0B12" w:rsidRPr="008A0B12">
        <w:rPr>
          <w:sz w:val="22"/>
          <w:szCs w:val="22"/>
        </w:rPr>
        <w:t xml:space="preserve"> brought on by </w:t>
      </w:r>
      <w:r w:rsidR="000029AF" w:rsidRPr="008A0B12">
        <w:rPr>
          <w:sz w:val="22"/>
          <w:szCs w:val="22"/>
        </w:rPr>
        <w:t>prolonged decline</w:t>
      </w:r>
      <w:r w:rsidR="00C91E3D">
        <w:rPr>
          <w:sz w:val="22"/>
          <w:szCs w:val="22"/>
        </w:rPr>
        <w:t>s</w:t>
      </w:r>
      <w:r w:rsidR="000029AF" w:rsidRPr="008A0B12">
        <w:rPr>
          <w:sz w:val="22"/>
          <w:szCs w:val="22"/>
        </w:rPr>
        <w:t xml:space="preserve"> in </w:t>
      </w:r>
      <w:r w:rsidR="00FD25FE" w:rsidRPr="008A0B12">
        <w:rPr>
          <w:sz w:val="22"/>
          <w:szCs w:val="22"/>
        </w:rPr>
        <w:t xml:space="preserve">demand, </w:t>
      </w:r>
      <w:r w:rsidR="00073791" w:rsidRPr="008A0B12">
        <w:rPr>
          <w:sz w:val="22"/>
          <w:szCs w:val="22"/>
        </w:rPr>
        <w:t>industry suppliers</w:t>
      </w:r>
      <w:r w:rsidR="000029AF" w:rsidRPr="008A0B12">
        <w:rPr>
          <w:sz w:val="22"/>
          <w:szCs w:val="22"/>
        </w:rPr>
        <w:t xml:space="preserve"> </w:t>
      </w:r>
      <w:r w:rsidR="00C91E3D">
        <w:rPr>
          <w:sz w:val="22"/>
          <w:szCs w:val="22"/>
        </w:rPr>
        <w:t xml:space="preserve">are </w:t>
      </w:r>
      <w:r w:rsidR="008A0B12" w:rsidRPr="008A0B12">
        <w:rPr>
          <w:sz w:val="22"/>
          <w:szCs w:val="22"/>
        </w:rPr>
        <w:t xml:space="preserve">increasingly </w:t>
      </w:r>
      <w:r w:rsidR="000029AF" w:rsidRPr="008A0B12">
        <w:rPr>
          <w:sz w:val="22"/>
          <w:szCs w:val="22"/>
        </w:rPr>
        <w:t>eager</w:t>
      </w:r>
      <w:r w:rsidR="00FB193B">
        <w:rPr>
          <w:sz w:val="22"/>
          <w:szCs w:val="22"/>
        </w:rPr>
        <w:t xml:space="preserve">—and </w:t>
      </w:r>
      <w:r w:rsidR="008A0B12" w:rsidRPr="008A0B12">
        <w:rPr>
          <w:sz w:val="22"/>
          <w:szCs w:val="22"/>
        </w:rPr>
        <w:t>able</w:t>
      </w:r>
      <w:r w:rsidR="00FB193B">
        <w:rPr>
          <w:sz w:val="22"/>
          <w:szCs w:val="22"/>
        </w:rPr>
        <w:t>—</w:t>
      </w:r>
      <w:r w:rsidR="000029AF" w:rsidRPr="008A0B12">
        <w:rPr>
          <w:sz w:val="22"/>
          <w:szCs w:val="22"/>
        </w:rPr>
        <w:t xml:space="preserve">to demonstrate what they can do for </w:t>
      </w:r>
      <w:r w:rsidR="00FD25FE" w:rsidRPr="008A0B12">
        <w:rPr>
          <w:sz w:val="22"/>
          <w:szCs w:val="22"/>
        </w:rPr>
        <w:t>customer</w:t>
      </w:r>
      <w:r w:rsidR="008A0B12" w:rsidRPr="008A0B12">
        <w:rPr>
          <w:sz w:val="22"/>
          <w:szCs w:val="22"/>
        </w:rPr>
        <w:t>s</w:t>
      </w:r>
      <w:r>
        <w:rPr>
          <w:sz w:val="22"/>
          <w:szCs w:val="22"/>
        </w:rPr>
        <w:t>.</w:t>
      </w:r>
      <w:r w:rsidR="00FD25FE" w:rsidRPr="008A0B12">
        <w:rPr>
          <w:sz w:val="22"/>
          <w:szCs w:val="22"/>
        </w:rPr>
        <w:t xml:space="preserve">” </w:t>
      </w:r>
      <w:r>
        <w:rPr>
          <w:sz w:val="22"/>
          <w:szCs w:val="22"/>
        </w:rPr>
        <w:t xml:space="preserve">Sheridan added, </w:t>
      </w:r>
      <w:r w:rsidR="003B5E63" w:rsidRPr="008A0B12">
        <w:rPr>
          <w:sz w:val="22"/>
          <w:szCs w:val="22"/>
        </w:rPr>
        <w:t>“</w:t>
      </w:r>
      <w:r w:rsidR="00FD25FE" w:rsidRPr="008A0B12">
        <w:rPr>
          <w:sz w:val="22"/>
          <w:szCs w:val="22"/>
        </w:rPr>
        <w:t xml:space="preserve">With </w:t>
      </w:r>
      <w:r w:rsidR="008A0B12" w:rsidRPr="008A0B12">
        <w:rPr>
          <w:sz w:val="22"/>
          <w:szCs w:val="22"/>
        </w:rPr>
        <w:t xml:space="preserve">experienced </w:t>
      </w:r>
      <w:r w:rsidR="00FD25FE" w:rsidRPr="008A0B12">
        <w:rPr>
          <w:sz w:val="22"/>
          <w:szCs w:val="22"/>
        </w:rPr>
        <w:t xml:space="preserve">personnel, </w:t>
      </w:r>
      <w:r w:rsidR="008A0B12" w:rsidRPr="008A0B12">
        <w:rPr>
          <w:sz w:val="22"/>
          <w:szCs w:val="22"/>
        </w:rPr>
        <w:t xml:space="preserve">fresh </w:t>
      </w:r>
      <w:r w:rsidR="00FD25FE" w:rsidRPr="008A0B12">
        <w:rPr>
          <w:sz w:val="22"/>
          <w:szCs w:val="22"/>
        </w:rPr>
        <w:t>equipment</w:t>
      </w:r>
      <w:r w:rsidR="00C91E3D">
        <w:rPr>
          <w:sz w:val="22"/>
          <w:szCs w:val="22"/>
        </w:rPr>
        <w:t xml:space="preserve"> </w:t>
      </w:r>
      <w:r w:rsidR="00FD25FE" w:rsidRPr="008A0B12">
        <w:rPr>
          <w:sz w:val="22"/>
          <w:szCs w:val="22"/>
        </w:rPr>
        <w:t xml:space="preserve">and </w:t>
      </w:r>
      <w:r w:rsidR="008A0B12" w:rsidRPr="008A0B12">
        <w:rPr>
          <w:sz w:val="22"/>
          <w:szCs w:val="22"/>
        </w:rPr>
        <w:t xml:space="preserve">new </w:t>
      </w:r>
      <w:r w:rsidR="00FD25FE" w:rsidRPr="008A0B12">
        <w:rPr>
          <w:sz w:val="22"/>
          <w:szCs w:val="22"/>
        </w:rPr>
        <w:t>technolog</w:t>
      </w:r>
      <w:r w:rsidR="008A0B12" w:rsidRPr="008A0B12">
        <w:rPr>
          <w:sz w:val="22"/>
          <w:szCs w:val="22"/>
        </w:rPr>
        <w:t>ies</w:t>
      </w:r>
      <w:r w:rsidR="00FB193B">
        <w:rPr>
          <w:sz w:val="22"/>
          <w:szCs w:val="22"/>
        </w:rPr>
        <w:t xml:space="preserve"> in hand</w:t>
      </w:r>
      <w:r w:rsidR="008A0B12" w:rsidRPr="008A0B12">
        <w:rPr>
          <w:sz w:val="22"/>
          <w:szCs w:val="22"/>
        </w:rPr>
        <w:t xml:space="preserve">, suppliers </w:t>
      </w:r>
      <w:r w:rsidR="00C91E3D">
        <w:rPr>
          <w:sz w:val="22"/>
          <w:szCs w:val="22"/>
        </w:rPr>
        <w:t xml:space="preserve">are </w:t>
      </w:r>
      <w:r w:rsidR="008A0B12" w:rsidRPr="008A0B12">
        <w:rPr>
          <w:sz w:val="22"/>
          <w:szCs w:val="22"/>
        </w:rPr>
        <w:t>ris</w:t>
      </w:r>
      <w:r w:rsidR="00C91E3D">
        <w:rPr>
          <w:sz w:val="22"/>
          <w:szCs w:val="22"/>
        </w:rPr>
        <w:t xml:space="preserve">ing </w:t>
      </w:r>
      <w:r w:rsidR="008A0B12" w:rsidRPr="008A0B12">
        <w:rPr>
          <w:sz w:val="22"/>
          <w:szCs w:val="22"/>
        </w:rPr>
        <w:t xml:space="preserve">to the challenge of </w:t>
      </w:r>
      <w:r w:rsidR="00FB193B">
        <w:rPr>
          <w:sz w:val="22"/>
          <w:szCs w:val="22"/>
        </w:rPr>
        <w:t xml:space="preserve">helping </w:t>
      </w:r>
      <w:r w:rsidR="00EC2FC3">
        <w:rPr>
          <w:sz w:val="22"/>
          <w:szCs w:val="22"/>
        </w:rPr>
        <w:t xml:space="preserve">clients </w:t>
      </w:r>
      <w:r w:rsidR="00FB193B">
        <w:rPr>
          <w:sz w:val="22"/>
          <w:szCs w:val="22"/>
        </w:rPr>
        <w:t xml:space="preserve">prosper </w:t>
      </w:r>
      <w:r w:rsidR="008A0B12" w:rsidRPr="008A0B12">
        <w:rPr>
          <w:sz w:val="22"/>
          <w:szCs w:val="22"/>
        </w:rPr>
        <w:t xml:space="preserve">at prices </w:t>
      </w:r>
      <w:r w:rsidR="00C91E3D">
        <w:rPr>
          <w:sz w:val="22"/>
          <w:szCs w:val="22"/>
        </w:rPr>
        <w:t xml:space="preserve">lower </w:t>
      </w:r>
      <w:r w:rsidR="008A0B12" w:rsidRPr="008A0B12">
        <w:rPr>
          <w:sz w:val="22"/>
          <w:szCs w:val="22"/>
        </w:rPr>
        <w:t xml:space="preserve">than thought possible a few years ago.” </w:t>
      </w:r>
    </w:p>
    <w:p w14:paraId="2B1FB0F9" w14:textId="77777777" w:rsidR="00723502" w:rsidRPr="004E2915" w:rsidRDefault="00723502" w:rsidP="00427AA0">
      <w:pPr>
        <w:rPr>
          <w:color w:val="0000FF"/>
          <w:sz w:val="22"/>
          <w:szCs w:val="22"/>
        </w:rPr>
      </w:pPr>
    </w:p>
    <w:p w14:paraId="4B73CD0A" w14:textId="27836D61" w:rsidR="00D5031B" w:rsidRDefault="00CE4180" w:rsidP="00C14E7C">
      <w:pPr>
        <w:rPr>
          <w:color w:val="0000FF"/>
          <w:sz w:val="22"/>
          <w:szCs w:val="22"/>
        </w:rPr>
      </w:pPr>
      <w:r w:rsidRPr="006B3113">
        <w:rPr>
          <w:sz w:val="22"/>
          <w:szCs w:val="22"/>
        </w:rPr>
        <w:t xml:space="preserve">Top </w:t>
      </w:r>
      <w:r w:rsidR="006F5093" w:rsidRPr="006B3113">
        <w:rPr>
          <w:sz w:val="22"/>
          <w:szCs w:val="22"/>
        </w:rPr>
        <w:t xml:space="preserve">overall ratings were awarded to the following companies in each of the </w:t>
      </w:r>
      <w:r w:rsidR="004679E4" w:rsidRPr="006B3113">
        <w:rPr>
          <w:sz w:val="22"/>
          <w:szCs w:val="22"/>
        </w:rPr>
        <w:t xml:space="preserve">four </w:t>
      </w:r>
      <w:r w:rsidR="004A4218">
        <w:rPr>
          <w:sz w:val="22"/>
          <w:szCs w:val="22"/>
        </w:rPr>
        <w:t xml:space="preserve">major </w:t>
      </w:r>
      <w:r w:rsidRPr="006B3113">
        <w:rPr>
          <w:sz w:val="22"/>
          <w:szCs w:val="22"/>
        </w:rPr>
        <w:t xml:space="preserve">upstream oil and gas </w:t>
      </w:r>
      <w:r w:rsidR="004679E4" w:rsidRPr="006B3113">
        <w:rPr>
          <w:sz w:val="22"/>
          <w:szCs w:val="22"/>
        </w:rPr>
        <w:t>segments</w:t>
      </w:r>
      <w:r w:rsidRPr="006B3113">
        <w:rPr>
          <w:sz w:val="22"/>
          <w:szCs w:val="22"/>
        </w:rPr>
        <w:t xml:space="preserve"> covered in</w:t>
      </w:r>
      <w:r w:rsidR="006F5093" w:rsidRPr="006B3113">
        <w:rPr>
          <w:sz w:val="22"/>
          <w:szCs w:val="22"/>
        </w:rPr>
        <w:t xml:space="preserve"> the survey: </w:t>
      </w:r>
      <w:r w:rsidR="00DC7252" w:rsidRPr="006B3113">
        <w:rPr>
          <w:b/>
          <w:sz w:val="22"/>
          <w:szCs w:val="22"/>
        </w:rPr>
        <w:t>Helmerich &amp; Payne</w:t>
      </w:r>
      <w:r w:rsidR="00DC7252" w:rsidRPr="006B3113">
        <w:rPr>
          <w:sz w:val="22"/>
          <w:szCs w:val="22"/>
        </w:rPr>
        <w:t xml:space="preserve"> in onshore contract drilling; </w:t>
      </w:r>
      <w:r w:rsidR="00DC7252" w:rsidRPr="006B3113">
        <w:rPr>
          <w:b/>
          <w:sz w:val="22"/>
          <w:szCs w:val="22"/>
        </w:rPr>
        <w:t>Ensco plc</w:t>
      </w:r>
      <w:r w:rsidR="00DC7252" w:rsidRPr="006B3113">
        <w:rPr>
          <w:sz w:val="22"/>
          <w:szCs w:val="22"/>
        </w:rPr>
        <w:t xml:space="preserve"> in offshore contract drilling, </w:t>
      </w:r>
      <w:r w:rsidRPr="006B3113">
        <w:rPr>
          <w:sz w:val="22"/>
          <w:szCs w:val="22"/>
        </w:rPr>
        <w:t xml:space="preserve">reservoir and production specialist </w:t>
      </w:r>
      <w:r w:rsidR="006F5093" w:rsidRPr="006B3113">
        <w:rPr>
          <w:b/>
          <w:sz w:val="22"/>
          <w:szCs w:val="22"/>
        </w:rPr>
        <w:t>Core Laboratories</w:t>
      </w:r>
      <w:r w:rsidR="006F5093" w:rsidRPr="006B3113">
        <w:rPr>
          <w:sz w:val="22"/>
          <w:szCs w:val="22"/>
        </w:rPr>
        <w:t xml:space="preserve"> </w:t>
      </w:r>
      <w:r w:rsidRPr="006B3113">
        <w:rPr>
          <w:sz w:val="22"/>
          <w:szCs w:val="22"/>
        </w:rPr>
        <w:t>in oilfield services</w:t>
      </w:r>
      <w:r w:rsidR="006B3113" w:rsidRPr="006B3113">
        <w:rPr>
          <w:sz w:val="22"/>
          <w:szCs w:val="22"/>
        </w:rPr>
        <w:t xml:space="preserve">, and; </w:t>
      </w:r>
      <w:r w:rsidR="006F5093" w:rsidRPr="006B3113">
        <w:rPr>
          <w:sz w:val="22"/>
          <w:szCs w:val="22"/>
        </w:rPr>
        <w:t xml:space="preserve">solids-control equipment manufacturer </w:t>
      </w:r>
      <w:r w:rsidR="006F5093" w:rsidRPr="006B3113">
        <w:rPr>
          <w:b/>
          <w:sz w:val="22"/>
          <w:szCs w:val="22"/>
        </w:rPr>
        <w:t xml:space="preserve">Derrick Equipment </w:t>
      </w:r>
      <w:r w:rsidR="006F5093" w:rsidRPr="006B3113">
        <w:rPr>
          <w:sz w:val="22"/>
          <w:szCs w:val="22"/>
        </w:rPr>
        <w:t>in oilfield products</w:t>
      </w:r>
      <w:r w:rsidR="006B3113" w:rsidRPr="006B3113">
        <w:rPr>
          <w:sz w:val="22"/>
          <w:szCs w:val="22"/>
        </w:rPr>
        <w:t>.</w:t>
      </w:r>
      <w:r w:rsidRPr="006B3113">
        <w:rPr>
          <w:sz w:val="22"/>
          <w:szCs w:val="22"/>
        </w:rPr>
        <w:t xml:space="preserve"> </w:t>
      </w:r>
      <w:r w:rsidR="00C14E7C">
        <w:rPr>
          <w:sz w:val="22"/>
          <w:szCs w:val="22"/>
        </w:rPr>
        <w:br/>
      </w:r>
    </w:p>
    <w:p w14:paraId="0892F9D1" w14:textId="77777777" w:rsidR="004E2915" w:rsidRPr="0006267F" w:rsidRDefault="004E2915" w:rsidP="004E2915">
      <w:pPr>
        <w:rPr>
          <w:b/>
          <w:sz w:val="22"/>
          <w:szCs w:val="22"/>
          <w:u w:val="single"/>
        </w:rPr>
      </w:pPr>
      <w:r w:rsidRPr="0006267F">
        <w:rPr>
          <w:b/>
          <w:sz w:val="22"/>
          <w:szCs w:val="22"/>
          <w:u w:val="single"/>
        </w:rPr>
        <w:t>Onshore Drilling Segment</w:t>
      </w:r>
    </w:p>
    <w:p w14:paraId="0986826C" w14:textId="6EAF0A6B" w:rsidR="004E2915" w:rsidRPr="00E91FEC" w:rsidRDefault="004E2915" w:rsidP="004E2915">
      <w:pPr>
        <w:rPr>
          <w:sz w:val="22"/>
          <w:szCs w:val="22"/>
        </w:rPr>
      </w:pPr>
      <w:r w:rsidRPr="00E91FEC">
        <w:rPr>
          <w:sz w:val="22"/>
          <w:szCs w:val="22"/>
        </w:rPr>
        <w:t>Helmerich &amp; Payne</w:t>
      </w:r>
      <w:r w:rsidR="0006267F" w:rsidRPr="00E91FEC">
        <w:rPr>
          <w:sz w:val="22"/>
          <w:szCs w:val="22"/>
        </w:rPr>
        <w:t xml:space="preserve"> repeated as the top-rated onshore contract driller in this year’s survey. In addition to rating first in total satisfaction, the company took top honors in </w:t>
      </w:r>
      <w:r w:rsidRPr="00E91FEC">
        <w:rPr>
          <w:sz w:val="22"/>
          <w:szCs w:val="22"/>
        </w:rPr>
        <w:t xml:space="preserve">performance and reliability, safety and environmental (HSE), </w:t>
      </w:r>
      <w:r w:rsidR="0006267F" w:rsidRPr="00E91FEC">
        <w:rPr>
          <w:sz w:val="22"/>
          <w:szCs w:val="22"/>
        </w:rPr>
        <w:t xml:space="preserve">technology, Onshore Gulf Coast, </w:t>
      </w:r>
      <w:r w:rsidR="00B22A41">
        <w:rPr>
          <w:sz w:val="22"/>
          <w:szCs w:val="22"/>
        </w:rPr>
        <w:t xml:space="preserve">Interior Texas &amp; </w:t>
      </w:r>
      <w:r w:rsidR="002D36F3">
        <w:rPr>
          <w:sz w:val="22"/>
          <w:szCs w:val="22"/>
        </w:rPr>
        <w:t xml:space="preserve">Mid-continent, </w:t>
      </w:r>
      <w:r w:rsidR="0006267F" w:rsidRPr="00E91FEC">
        <w:rPr>
          <w:sz w:val="22"/>
          <w:szCs w:val="22"/>
        </w:rPr>
        <w:t xml:space="preserve">horizontal and directional </w:t>
      </w:r>
      <w:r w:rsidR="00BE6539">
        <w:rPr>
          <w:sz w:val="22"/>
          <w:szCs w:val="22"/>
        </w:rPr>
        <w:t>applications</w:t>
      </w:r>
      <w:r w:rsidRPr="00E91FEC">
        <w:rPr>
          <w:sz w:val="22"/>
          <w:szCs w:val="22"/>
        </w:rPr>
        <w:t xml:space="preserve">, </w:t>
      </w:r>
      <w:r w:rsidR="00E91FEC" w:rsidRPr="00E91FEC">
        <w:rPr>
          <w:sz w:val="22"/>
          <w:szCs w:val="22"/>
        </w:rPr>
        <w:t xml:space="preserve">shale-oriented applications, </w:t>
      </w:r>
      <w:r w:rsidRPr="00E91FEC">
        <w:rPr>
          <w:sz w:val="22"/>
          <w:szCs w:val="22"/>
        </w:rPr>
        <w:t>and three additional categories.</w:t>
      </w:r>
    </w:p>
    <w:p w14:paraId="08462541" w14:textId="77777777" w:rsidR="004E2915" w:rsidRPr="00E91FEC" w:rsidRDefault="004E2915" w:rsidP="004E2915">
      <w:pPr>
        <w:rPr>
          <w:sz w:val="22"/>
          <w:szCs w:val="22"/>
        </w:rPr>
      </w:pPr>
    </w:p>
    <w:p w14:paraId="060FF50D" w14:textId="77777777" w:rsidR="004E2915" w:rsidRPr="007C2A11" w:rsidRDefault="004E2915" w:rsidP="004E2915">
      <w:pPr>
        <w:rPr>
          <w:sz w:val="22"/>
          <w:szCs w:val="22"/>
        </w:rPr>
      </w:pPr>
      <w:r w:rsidRPr="007C2A11">
        <w:rPr>
          <w:sz w:val="22"/>
          <w:szCs w:val="22"/>
        </w:rPr>
        <w:t>Other companies rating first in various categories of the onshore contract drilling segment include:</w:t>
      </w:r>
    </w:p>
    <w:p w14:paraId="2D389D4F" w14:textId="77777777" w:rsidR="004E2915" w:rsidRPr="007C2A11" w:rsidRDefault="004E2915" w:rsidP="004E2915">
      <w:pPr>
        <w:rPr>
          <w:sz w:val="22"/>
          <w:szCs w:val="22"/>
        </w:rPr>
      </w:pPr>
    </w:p>
    <w:p w14:paraId="0C7EE15A" w14:textId="65DAE68A" w:rsidR="004E2915" w:rsidRPr="007C2A11" w:rsidRDefault="004E2915" w:rsidP="004E2915">
      <w:pPr>
        <w:pStyle w:val="ListParagraph"/>
        <w:numPr>
          <w:ilvl w:val="0"/>
          <w:numId w:val="22"/>
        </w:numPr>
        <w:rPr>
          <w:sz w:val="22"/>
          <w:szCs w:val="22"/>
        </w:rPr>
      </w:pPr>
      <w:r w:rsidRPr="007C2A11">
        <w:rPr>
          <w:b/>
          <w:sz w:val="22"/>
          <w:szCs w:val="22"/>
        </w:rPr>
        <w:t xml:space="preserve">KCA Deutag </w:t>
      </w:r>
      <w:r w:rsidRPr="007C2A11">
        <w:rPr>
          <w:sz w:val="22"/>
          <w:szCs w:val="22"/>
        </w:rPr>
        <w:t xml:space="preserve">in </w:t>
      </w:r>
      <w:r w:rsidR="00BE6539">
        <w:rPr>
          <w:sz w:val="22"/>
          <w:szCs w:val="22"/>
        </w:rPr>
        <w:t>harsh-environment</w:t>
      </w:r>
      <w:r w:rsidRPr="007C2A11">
        <w:rPr>
          <w:sz w:val="22"/>
          <w:szCs w:val="22"/>
        </w:rPr>
        <w:t xml:space="preserve"> applications; </w:t>
      </w:r>
    </w:p>
    <w:p w14:paraId="33CE2780" w14:textId="11F1EDA2" w:rsidR="004E2915" w:rsidRPr="007C2A11" w:rsidRDefault="004E2915" w:rsidP="004E2915">
      <w:pPr>
        <w:pStyle w:val="ListParagraph"/>
        <w:numPr>
          <w:ilvl w:val="0"/>
          <w:numId w:val="22"/>
        </w:numPr>
        <w:rPr>
          <w:b/>
          <w:sz w:val="22"/>
          <w:szCs w:val="22"/>
          <w:u w:val="single"/>
        </w:rPr>
      </w:pPr>
      <w:r w:rsidRPr="007C2A11">
        <w:rPr>
          <w:b/>
          <w:sz w:val="22"/>
          <w:szCs w:val="22"/>
        </w:rPr>
        <w:t>Precision Drilling</w:t>
      </w:r>
      <w:r w:rsidRPr="007C2A11">
        <w:rPr>
          <w:sz w:val="22"/>
          <w:szCs w:val="22"/>
        </w:rPr>
        <w:t xml:space="preserve"> in </w:t>
      </w:r>
      <w:r w:rsidR="007C2A11" w:rsidRPr="007C2A11">
        <w:rPr>
          <w:sz w:val="22"/>
          <w:szCs w:val="22"/>
        </w:rPr>
        <w:t xml:space="preserve">job quality, Canada, </w:t>
      </w:r>
      <w:r w:rsidR="007C2A11">
        <w:rPr>
          <w:sz w:val="22"/>
          <w:szCs w:val="22"/>
        </w:rPr>
        <w:t xml:space="preserve">and </w:t>
      </w:r>
      <w:r w:rsidRPr="007C2A11">
        <w:rPr>
          <w:sz w:val="22"/>
          <w:szCs w:val="22"/>
        </w:rPr>
        <w:t>U.S. Rockies &amp; Dakotas.</w:t>
      </w:r>
    </w:p>
    <w:p w14:paraId="2542876F" w14:textId="77777777" w:rsidR="00C14E7C" w:rsidRDefault="00C14E7C" w:rsidP="004E2915">
      <w:pPr>
        <w:rPr>
          <w:b/>
          <w:sz w:val="22"/>
          <w:szCs w:val="22"/>
          <w:u w:val="single"/>
        </w:rPr>
      </w:pPr>
      <w:r>
        <w:rPr>
          <w:b/>
          <w:sz w:val="22"/>
          <w:szCs w:val="22"/>
          <w:u w:val="single"/>
        </w:rPr>
        <w:br/>
      </w:r>
    </w:p>
    <w:p w14:paraId="6C6E8F8F" w14:textId="77777777" w:rsidR="00C14E7C" w:rsidRDefault="00C14E7C">
      <w:pPr>
        <w:rPr>
          <w:b/>
          <w:sz w:val="22"/>
          <w:szCs w:val="22"/>
          <w:u w:val="single"/>
        </w:rPr>
      </w:pPr>
      <w:r>
        <w:rPr>
          <w:b/>
          <w:sz w:val="22"/>
          <w:szCs w:val="22"/>
          <w:u w:val="single"/>
        </w:rPr>
        <w:br w:type="page"/>
      </w:r>
    </w:p>
    <w:p w14:paraId="31F9B918" w14:textId="2E8D5731" w:rsidR="004E2915" w:rsidRPr="008746E4" w:rsidRDefault="00C14E7C" w:rsidP="004E2915">
      <w:pPr>
        <w:rPr>
          <w:b/>
          <w:sz w:val="22"/>
          <w:szCs w:val="22"/>
          <w:u w:val="single"/>
        </w:rPr>
      </w:pPr>
      <w:r>
        <w:rPr>
          <w:b/>
          <w:sz w:val="22"/>
          <w:szCs w:val="22"/>
          <w:u w:val="single"/>
        </w:rPr>
        <w:lastRenderedPageBreak/>
        <w:br/>
      </w:r>
      <w:r w:rsidR="004E2915" w:rsidRPr="008746E4">
        <w:rPr>
          <w:b/>
          <w:sz w:val="22"/>
          <w:szCs w:val="22"/>
          <w:u w:val="single"/>
        </w:rPr>
        <w:t>Offshore Drilling Segment</w:t>
      </w:r>
    </w:p>
    <w:p w14:paraId="543E91FA" w14:textId="289D77C0" w:rsidR="004E2915" w:rsidRPr="008746E4" w:rsidRDefault="00327609" w:rsidP="004E2915">
      <w:pPr>
        <w:rPr>
          <w:sz w:val="22"/>
          <w:szCs w:val="22"/>
        </w:rPr>
      </w:pPr>
      <w:r w:rsidRPr="008746E4">
        <w:rPr>
          <w:sz w:val="22"/>
          <w:szCs w:val="22"/>
        </w:rPr>
        <w:t xml:space="preserve">Among offshore contract drillers, </w:t>
      </w:r>
      <w:r w:rsidR="004E2915" w:rsidRPr="008746E4">
        <w:rPr>
          <w:sz w:val="22"/>
          <w:szCs w:val="22"/>
        </w:rPr>
        <w:t xml:space="preserve">Ensco </w:t>
      </w:r>
      <w:r w:rsidRPr="008746E4">
        <w:rPr>
          <w:sz w:val="22"/>
          <w:szCs w:val="22"/>
        </w:rPr>
        <w:t>once again placed</w:t>
      </w:r>
      <w:r w:rsidR="004E2915" w:rsidRPr="008746E4">
        <w:rPr>
          <w:sz w:val="22"/>
          <w:szCs w:val="22"/>
        </w:rPr>
        <w:t xml:space="preserve"> first </w:t>
      </w:r>
      <w:r w:rsidRPr="008746E4">
        <w:rPr>
          <w:sz w:val="22"/>
          <w:szCs w:val="22"/>
        </w:rPr>
        <w:t xml:space="preserve">in total satisfaction. The company also rated first in terms of job quality, safety and environmental (HSE), performance and reliability, </w:t>
      </w:r>
      <w:r w:rsidR="008746E4" w:rsidRPr="008746E4">
        <w:rPr>
          <w:sz w:val="22"/>
          <w:szCs w:val="22"/>
        </w:rPr>
        <w:t xml:space="preserve">technology, </w:t>
      </w:r>
      <w:r w:rsidRPr="008746E4">
        <w:rPr>
          <w:sz w:val="22"/>
          <w:szCs w:val="22"/>
        </w:rPr>
        <w:t xml:space="preserve">deepwater </w:t>
      </w:r>
      <w:r w:rsidR="00BE6539">
        <w:rPr>
          <w:sz w:val="22"/>
          <w:szCs w:val="22"/>
        </w:rPr>
        <w:t>applications</w:t>
      </w:r>
      <w:r w:rsidRPr="008746E4">
        <w:rPr>
          <w:sz w:val="22"/>
          <w:szCs w:val="22"/>
        </w:rPr>
        <w:t xml:space="preserve">, the North Sea, special applications, and </w:t>
      </w:r>
      <w:r w:rsidR="008746E4" w:rsidRPr="008746E4">
        <w:rPr>
          <w:sz w:val="22"/>
          <w:szCs w:val="22"/>
        </w:rPr>
        <w:t xml:space="preserve">four </w:t>
      </w:r>
      <w:r w:rsidRPr="008746E4">
        <w:rPr>
          <w:sz w:val="22"/>
          <w:szCs w:val="22"/>
        </w:rPr>
        <w:t>additional categories.</w:t>
      </w:r>
    </w:p>
    <w:p w14:paraId="7F730FDD" w14:textId="77777777" w:rsidR="004E2915" w:rsidRPr="008746E4" w:rsidRDefault="004E2915" w:rsidP="004E2915">
      <w:pPr>
        <w:rPr>
          <w:sz w:val="22"/>
          <w:szCs w:val="22"/>
        </w:rPr>
      </w:pPr>
    </w:p>
    <w:p w14:paraId="7C348EA3" w14:textId="056BA1DF" w:rsidR="004E2915" w:rsidRPr="008746E4" w:rsidRDefault="004E2915" w:rsidP="004E2915">
      <w:pPr>
        <w:rPr>
          <w:sz w:val="22"/>
          <w:szCs w:val="22"/>
        </w:rPr>
      </w:pPr>
      <w:r w:rsidRPr="008746E4">
        <w:rPr>
          <w:sz w:val="22"/>
          <w:szCs w:val="22"/>
        </w:rPr>
        <w:t xml:space="preserve">Other </w:t>
      </w:r>
      <w:r w:rsidR="008746E4" w:rsidRPr="008746E4">
        <w:rPr>
          <w:sz w:val="22"/>
          <w:szCs w:val="22"/>
        </w:rPr>
        <w:t>companies</w:t>
      </w:r>
      <w:r w:rsidRPr="008746E4">
        <w:rPr>
          <w:sz w:val="22"/>
          <w:szCs w:val="22"/>
        </w:rPr>
        <w:t xml:space="preserve"> rating first in at least one category within the offshore drilling segment of the survey include:</w:t>
      </w:r>
    </w:p>
    <w:p w14:paraId="0750FF13" w14:textId="77777777" w:rsidR="004E2915" w:rsidRPr="008746E4" w:rsidRDefault="004E2915" w:rsidP="004E2915">
      <w:pPr>
        <w:rPr>
          <w:sz w:val="22"/>
          <w:szCs w:val="22"/>
        </w:rPr>
      </w:pPr>
    </w:p>
    <w:p w14:paraId="4956391E" w14:textId="4577BE2D" w:rsidR="004E2915" w:rsidRPr="008746E4" w:rsidRDefault="008746E4" w:rsidP="004E2915">
      <w:pPr>
        <w:pStyle w:val="ListParagraph"/>
        <w:numPr>
          <w:ilvl w:val="0"/>
          <w:numId w:val="24"/>
        </w:numPr>
        <w:rPr>
          <w:sz w:val="22"/>
          <w:szCs w:val="22"/>
        </w:rPr>
      </w:pPr>
      <w:r w:rsidRPr="008746E4">
        <w:rPr>
          <w:b/>
          <w:sz w:val="22"/>
          <w:szCs w:val="22"/>
        </w:rPr>
        <w:t>Diamond Offshore</w:t>
      </w:r>
      <w:r w:rsidR="004E2915" w:rsidRPr="008746E4">
        <w:rPr>
          <w:sz w:val="22"/>
          <w:szCs w:val="22"/>
        </w:rPr>
        <w:t xml:space="preserve"> in the Gulf of Mexico;</w:t>
      </w:r>
    </w:p>
    <w:p w14:paraId="0BDA1D1A" w14:textId="0DE2C734" w:rsidR="004E2915" w:rsidRPr="008746E4" w:rsidRDefault="008746E4" w:rsidP="004E2915">
      <w:pPr>
        <w:pStyle w:val="ListParagraph"/>
        <w:numPr>
          <w:ilvl w:val="0"/>
          <w:numId w:val="24"/>
        </w:numPr>
        <w:rPr>
          <w:sz w:val="22"/>
          <w:szCs w:val="22"/>
        </w:rPr>
      </w:pPr>
      <w:r w:rsidRPr="008746E4">
        <w:rPr>
          <w:b/>
          <w:sz w:val="22"/>
          <w:szCs w:val="22"/>
        </w:rPr>
        <w:t>Noble Drilling</w:t>
      </w:r>
      <w:r w:rsidR="004E2915" w:rsidRPr="008746E4">
        <w:rPr>
          <w:sz w:val="22"/>
          <w:szCs w:val="22"/>
        </w:rPr>
        <w:t xml:space="preserve"> in </w:t>
      </w:r>
      <w:r w:rsidRPr="008746E4">
        <w:rPr>
          <w:sz w:val="22"/>
          <w:szCs w:val="22"/>
        </w:rPr>
        <w:t>Latin America &amp; Mexico</w:t>
      </w:r>
      <w:r w:rsidR="004E2915" w:rsidRPr="008746E4">
        <w:rPr>
          <w:sz w:val="22"/>
          <w:szCs w:val="22"/>
        </w:rPr>
        <w:t xml:space="preserve">; </w:t>
      </w:r>
    </w:p>
    <w:p w14:paraId="499B22D2" w14:textId="506CF45C" w:rsidR="004E2915" w:rsidRPr="008746E4" w:rsidRDefault="004E2915" w:rsidP="004E2915">
      <w:pPr>
        <w:pStyle w:val="ListParagraph"/>
        <w:numPr>
          <w:ilvl w:val="0"/>
          <w:numId w:val="24"/>
        </w:numPr>
        <w:rPr>
          <w:sz w:val="22"/>
          <w:szCs w:val="22"/>
        </w:rPr>
      </w:pPr>
      <w:r w:rsidRPr="008746E4">
        <w:rPr>
          <w:b/>
          <w:sz w:val="22"/>
          <w:szCs w:val="22"/>
        </w:rPr>
        <w:t>Rowan Drilling</w:t>
      </w:r>
      <w:r w:rsidRPr="008746E4">
        <w:rPr>
          <w:sz w:val="22"/>
          <w:szCs w:val="22"/>
        </w:rPr>
        <w:t xml:space="preserve"> in </w:t>
      </w:r>
      <w:r w:rsidR="008746E4" w:rsidRPr="008746E4">
        <w:rPr>
          <w:sz w:val="22"/>
          <w:szCs w:val="22"/>
        </w:rPr>
        <w:t xml:space="preserve">the Middle East </w:t>
      </w:r>
      <w:r w:rsidR="002D36F3">
        <w:rPr>
          <w:sz w:val="22"/>
          <w:szCs w:val="22"/>
        </w:rPr>
        <w:t>&amp; N. Africa</w:t>
      </w:r>
      <w:r w:rsidR="008E68A0">
        <w:rPr>
          <w:sz w:val="22"/>
          <w:szCs w:val="22"/>
        </w:rPr>
        <w:t>,</w:t>
      </w:r>
      <w:r w:rsidR="002D36F3">
        <w:rPr>
          <w:sz w:val="22"/>
          <w:szCs w:val="22"/>
        </w:rPr>
        <w:t xml:space="preserve"> </w:t>
      </w:r>
      <w:r w:rsidR="008E68A0">
        <w:rPr>
          <w:sz w:val="22"/>
          <w:szCs w:val="22"/>
        </w:rPr>
        <w:t xml:space="preserve">as well as </w:t>
      </w:r>
      <w:r w:rsidRPr="008746E4">
        <w:rPr>
          <w:sz w:val="22"/>
          <w:szCs w:val="22"/>
        </w:rPr>
        <w:t xml:space="preserve">high-pressure/high-temperature (HPHT) </w:t>
      </w:r>
      <w:r w:rsidR="00BE6539">
        <w:rPr>
          <w:sz w:val="22"/>
          <w:szCs w:val="22"/>
        </w:rPr>
        <w:t>applications</w:t>
      </w:r>
      <w:r w:rsidR="008746E4" w:rsidRPr="008746E4">
        <w:rPr>
          <w:sz w:val="22"/>
          <w:szCs w:val="22"/>
        </w:rPr>
        <w:t>, and;</w:t>
      </w:r>
    </w:p>
    <w:p w14:paraId="5F93AADA" w14:textId="2083D2B5" w:rsidR="004E2915" w:rsidRPr="008746E4" w:rsidRDefault="004E2915" w:rsidP="004E2915">
      <w:pPr>
        <w:pStyle w:val="ListParagraph"/>
        <w:numPr>
          <w:ilvl w:val="0"/>
          <w:numId w:val="24"/>
        </w:numPr>
        <w:rPr>
          <w:sz w:val="22"/>
          <w:szCs w:val="22"/>
        </w:rPr>
      </w:pPr>
      <w:r w:rsidRPr="008746E4">
        <w:rPr>
          <w:b/>
          <w:sz w:val="22"/>
          <w:szCs w:val="22"/>
        </w:rPr>
        <w:t xml:space="preserve">Seadrill </w:t>
      </w:r>
      <w:r w:rsidRPr="008746E4">
        <w:rPr>
          <w:sz w:val="22"/>
          <w:szCs w:val="22"/>
        </w:rPr>
        <w:t xml:space="preserve">in Asia &amp; Pacific Rim and </w:t>
      </w:r>
      <w:r w:rsidR="00BE6539">
        <w:rPr>
          <w:sz w:val="22"/>
          <w:szCs w:val="22"/>
        </w:rPr>
        <w:t>harsh-environment</w:t>
      </w:r>
      <w:r w:rsidRPr="008746E4">
        <w:rPr>
          <w:sz w:val="22"/>
          <w:szCs w:val="22"/>
        </w:rPr>
        <w:t xml:space="preserve"> </w:t>
      </w:r>
      <w:r w:rsidR="00BE6539">
        <w:rPr>
          <w:sz w:val="22"/>
          <w:szCs w:val="22"/>
        </w:rPr>
        <w:t>applications</w:t>
      </w:r>
      <w:r w:rsidR="008746E4" w:rsidRPr="008746E4">
        <w:rPr>
          <w:sz w:val="22"/>
          <w:szCs w:val="22"/>
        </w:rPr>
        <w:t>.</w:t>
      </w:r>
    </w:p>
    <w:p w14:paraId="25CD07A5" w14:textId="77777777" w:rsidR="004E2915" w:rsidRPr="008746E4" w:rsidRDefault="004E2915" w:rsidP="003913DB">
      <w:pPr>
        <w:rPr>
          <w:b/>
          <w:sz w:val="22"/>
          <w:szCs w:val="22"/>
          <w:u w:val="single"/>
        </w:rPr>
      </w:pPr>
    </w:p>
    <w:p w14:paraId="617AA4C7" w14:textId="3522A1E9" w:rsidR="004E2915" w:rsidRPr="00E96C8C" w:rsidRDefault="00C14E7C" w:rsidP="004E2915">
      <w:pPr>
        <w:rPr>
          <w:b/>
          <w:sz w:val="22"/>
          <w:szCs w:val="22"/>
          <w:u w:val="single"/>
        </w:rPr>
      </w:pPr>
      <w:r>
        <w:rPr>
          <w:b/>
          <w:sz w:val="22"/>
          <w:szCs w:val="22"/>
          <w:u w:val="single"/>
        </w:rPr>
        <w:br/>
      </w:r>
      <w:r w:rsidR="004E2915" w:rsidRPr="00F06E8E">
        <w:rPr>
          <w:b/>
          <w:sz w:val="22"/>
          <w:szCs w:val="22"/>
          <w:u w:val="single"/>
        </w:rPr>
        <w:t>Oilfield Products Segment</w:t>
      </w:r>
      <w:r w:rsidR="004E2915" w:rsidRPr="00F06E8E">
        <w:rPr>
          <w:sz w:val="22"/>
          <w:szCs w:val="22"/>
        </w:rPr>
        <w:br/>
      </w:r>
      <w:r w:rsidR="00186622" w:rsidRPr="00E96C8C">
        <w:rPr>
          <w:sz w:val="22"/>
          <w:szCs w:val="22"/>
        </w:rPr>
        <w:t>In the oilfield products segment</w:t>
      </w:r>
      <w:r w:rsidR="00ED2561">
        <w:rPr>
          <w:sz w:val="22"/>
          <w:szCs w:val="22"/>
        </w:rPr>
        <w:t xml:space="preserve">, </w:t>
      </w:r>
      <w:r w:rsidR="004E2915" w:rsidRPr="00E96C8C">
        <w:rPr>
          <w:sz w:val="22"/>
          <w:szCs w:val="22"/>
        </w:rPr>
        <w:t>Derrick Equipment rated first in total satisfaction</w:t>
      </w:r>
      <w:r w:rsidR="00F06E8E" w:rsidRPr="00E96C8C">
        <w:rPr>
          <w:sz w:val="22"/>
          <w:szCs w:val="22"/>
        </w:rPr>
        <w:t xml:space="preserve">. Derrick </w:t>
      </w:r>
      <w:r w:rsidR="004E2915" w:rsidRPr="00E96C8C">
        <w:rPr>
          <w:sz w:val="22"/>
          <w:szCs w:val="22"/>
        </w:rPr>
        <w:t xml:space="preserve">also rated first in </w:t>
      </w:r>
      <w:r w:rsidR="00E96C8C" w:rsidRPr="00E96C8C">
        <w:rPr>
          <w:sz w:val="22"/>
          <w:szCs w:val="22"/>
        </w:rPr>
        <w:t>several</w:t>
      </w:r>
      <w:r w:rsidR="004E2915" w:rsidRPr="00E96C8C">
        <w:rPr>
          <w:sz w:val="22"/>
          <w:szCs w:val="22"/>
        </w:rPr>
        <w:t xml:space="preserve"> additional categories, including solids control equipment, rig-related equipment, engineering and design, availability and delivery, and </w:t>
      </w:r>
      <w:r w:rsidR="00C0336B" w:rsidRPr="00E96C8C">
        <w:rPr>
          <w:sz w:val="22"/>
          <w:szCs w:val="22"/>
        </w:rPr>
        <w:t>two additional categories.</w:t>
      </w:r>
    </w:p>
    <w:p w14:paraId="39104467" w14:textId="77777777" w:rsidR="004E2915" w:rsidRPr="004E2915" w:rsidRDefault="004E2915" w:rsidP="004E2915">
      <w:pPr>
        <w:rPr>
          <w:color w:val="0000FF"/>
          <w:sz w:val="22"/>
          <w:szCs w:val="22"/>
        </w:rPr>
      </w:pPr>
    </w:p>
    <w:p w14:paraId="401D02A7" w14:textId="5D1A4D85" w:rsidR="004E2915" w:rsidRPr="00E96C8C" w:rsidRDefault="004E2915" w:rsidP="004E2915">
      <w:pPr>
        <w:rPr>
          <w:sz w:val="22"/>
          <w:szCs w:val="22"/>
        </w:rPr>
      </w:pPr>
      <w:r w:rsidRPr="00E96C8C">
        <w:rPr>
          <w:sz w:val="22"/>
          <w:szCs w:val="22"/>
        </w:rPr>
        <w:t xml:space="preserve">Other </w:t>
      </w:r>
      <w:r w:rsidR="008E68A0">
        <w:rPr>
          <w:sz w:val="22"/>
          <w:szCs w:val="22"/>
        </w:rPr>
        <w:t xml:space="preserve">companies </w:t>
      </w:r>
      <w:r w:rsidRPr="00E96C8C">
        <w:rPr>
          <w:sz w:val="22"/>
          <w:szCs w:val="22"/>
        </w:rPr>
        <w:t>ranking first in at least one category in the oilfield products segment include:</w:t>
      </w:r>
    </w:p>
    <w:p w14:paraId="33FB9557" w14:textId="77777777" w:rsidR="004E2915" w:rsidRPr="004E2915" w:rsidRDefault="004E2915" w:rsidP="004E2915">
      <w:pPr>
        <w:rPr>
          <w:color w:val="0000FF"/>
          <w:sz w:val="22"/>
          <w:szCs w:val="22"/>
        </w:rPr>
      </w:pPr>
    </w:p>
    <w:p w14:paraId="559CE7D2" w14:textId="51EED75A" w:rsidR="004E2915" w:rsidRPr="00C0336B" w:rsidRDefault="004E2915" w:rsidP="004E2915">
      <w:pPr>
        <w:pStyle w:val="ListParagraph"/>
        <w:numPr>
          <w:ilvl w:val="0"/>
          <w:numId w:val="21"/>
        </w:numPr>
        <w:rPr>
          <w:sz w:val="22"/>
          <w:szCs w:val="22"/>
        </w:rPr>
      </w:pPr>
      <w:r w:rsidRPr="00C0336B">
        <w:rPr>
          <w:b/>
          <w:sz w:val="22"/>
          <w:szCs w:val="22"/>
        </w:rPr>
        <w:t>Baker Hughes</w:t>
      </w:r>
      <w:r w:rsidRPr="00C0336B">
        <w:rPr>
          <w:sz w:val="22"/>
          <w:szCs w:val="22"/>
        </w:rPr>
        <w:t xml:space="preserve"> </w:t>
      </w:r>
      <w:r w:rsidR="00C0336B" w:rsidRPr="00C0336B">
        <w:rPr>
          <w:sz w:val="22"/>
          <w:szCs w:val="22"/>
        </w:rPr>
        <w:t>flow control equipment</w:t>
      </w:r>
      <w:r w:rsidRPr="00C0336B">
        <w:rPr>
          <w:sz w:val="22"/>
          <w:szCs w:val="22"/>
        </w:rPr>
        <w:t xml:space="preserve">; </w:t>
      </w:r>
    </w:p>
    <w:p w14:paraId="7F764C7C" w14:textId="6EC1060D" w:rsidR="004E2915" w:rsidRPr="00C0336B" w:rsidRDefault="004E2915" w:rsidP="004E2915">
      <w:pPr>
        <w:pStyle w:val="ListParagraph"/>
        <w:numPr>
          <w:ilvl w:val="0"/>
          <w:numId w:val="21"/>
        </w:numPr>
        <w:rPr>
          <w:sz w:val="22"/>
          <w:szCs w:val="22"/>
        </w:rPr>
      </w:pPr>
      <w:r w:rsidRPr="00C0336B">
        <w:rPr>
          <w:b/>
          <w:sz w:val="22"/>
          <w:szCs w:val="22"/>
        </w:rPr>
        <w:t>Carbo Ceramics</w:t>
      </w:r>
      <w:r w:rsidRPr="00C0336B">
        <w:rPr>
          <w:sz w:val="22"/>
          <w:szCs w:val="22"/>
        </w:rPr>
        <w:t xml:space="preserve"> in performance and reliability</w:t>
      </w:r>
      <w:r w:rsidR="00C0336B" w:rsidRPr="00C0336B">
        <w:rPr>
          <w:sz w:val="22"/>
          <w:szCs w:val="22"/>
        </w:rPr>
        <w:t>;</w:t>
      </w:r>
    </w:p>
    <w:p w14:paraId="78613225" w14:textId="7E12141C" w:rsidR="004E2915" w:rsidRPr="00C0336B" w:rsidRDefault="004E2915" w:rsidP="004E2915">
      <w:pPr>
        <w:pStyle w:val="ListParagraph"/>
        <w:numPr>
          <w:ilvl w:val="0"/>
          <w:numId w:val="21"/>
        </w:numPr>
        <w:rPr>
          <w:sz w:val="22"/>
          <w:szCs w:val="22"/>
        </w:rPr>
      </w:pPr>
      <w:r w:rsidRPr="00C0336B">
        <w:rPr>
          <w:b/>
          <w:sz w:val="22"/>
          <w:szCs w:val="22"/>
        </w:rPr>
        <w:t>Caterpillar</w:t>
      </w:r>
      <w:r w:rsidRPr="00C0336B">
        <w:rPr>
          <w:sz w:val="22"/>
          <w:szCs w:val="22"/>
        </w:rPr>
        <w:t xml:space="preserve"> in rig engines;</w:t>
      </w:r>
    </w:p>
    <w:p w14:paraId="43CDB472" w14:textId="7ED0631E" w:rsidR="004E2915" w:rsidRPr="00C0336B" w:rsidRDefault="004E2915" w:rsidP="004E2915">
      <w:pPr>
        <w:pStyle w:val="ListParagraph"/>
        <w:numPr>
          <w:ilvl w:val="0"/>
          <w:numId w:val="21"/>
        </w:numPr>
        <w:rPr>
          <w:sz w:val="22"/>
          <w:szCs w:val="22"/>
        </w:rPr>
      </w:pPr>
      <w:r w:rsidRPr="00C0336B">
        <w:rPr>
          <w:b/>
          <w:sz w:val="22"/>
          <w:szCs w:val="22"/>
        </w:rPr>
        <w:t xml:space="preserve">Dover Artificial Lift </w:t>
      </w:r>
      <w:r w:rsidRPr="00C0336B">
        <w:rPr>
          <w:sz w:val="22"/>
          <w:szCs w:val="22"/>
        </w:rPr>
        <w:t xml:space="preserve">in artificial lift, </w:t>
      </w:r>
      <w:r w:rsidR="00C0336B" w:rsidRPr="00C0336B">
        <w:rPr>
          <w:sz w:val="22"/>
          <w:szCs w:val="22"/>
        </w:rPr>
        <w:t xml:space="preserve">performance and reliability, </w:t>
      </w:r>
      <w:r w:rsidRPr="00C0336B">
        <w:rPr>
          <w:sz w:val="22"/>
          <w:szCs w:val="22"/>
        </w:rPr>
        <w:t xml:space="preserve">engineering and design, </w:t>
      </w:r>
      <w:r w:rsidR="00C0336B" w:rsidRPr="00C0336B">
        <w:rPr>
          <w:sz w:val="22"/>
          <w:szCs w:val="22"/>
        </w:rPr>
        <w:t xml:space="preserve">onshore </w:t>
      </w:r>
      <w:r w:rsidR="00BE6539">
        <w:rPr>
          <w:sz w:val="22"/>
          <w:szCs w:val="22"/>
        </w:rPr>
        <w:t>applications</w:t>
      </w:r>
      <w:r w:rsidR="00C0336B" w:rsidRPr="00C0336B">
        <w:rPr>
          <w:sz w:val="22"/>
          <w:szCs w:val="22"/>
        </w:rPr>
        <w:t xml:space="preserve">, </w:t>
      </w:r>
      <w:r w:rsidRPr="00C0336B">
        <w:rPr>
          <w:sz w:val="22"/>
          <w:szCs w:val="22"/>
        </w:rPr>
        <w:t xml:space="preserve">and two </w:t>
      </w:r>
      <w:r w:rsidR="00E96C8C">
        <w:rPr>
          <w:sz w:val="22"/>
          <w:szCs w:val="22"/>
        </w:rPr>
        <w:t>additional categories</w:t>
      </w:r>
      <w:r w:rsidRPr="00C0336B">
        <w:rPr>
          <w:sz w:val="22"/>
          <w:szCs w:val="22"/>
        </w:rPr>
        <w:t>;</w:t>
      </w:r>
    </w:p>
    <w:p w14:paraId="45904EC2" w14:textId="4EB8CF43" w:rsidR="004E2915" w:rsidRDefault="004E2915" w:rsidP="004E2915">
      <w:pPr>
        <w:pStyle w:val="ListParagraph"/>
        <w:numPr>
          <w:ilvl w:val="0"/>
          <w:numId w:val="21"/>
        </w:numPr>
        <w:rPr>
          <w:sz w:val="22"/>
          <w:szCs w:val="22"/>
        </w:rPr>
      </w:pPr>
      <w:r w:rsidRPr="00E96C8C">
        <w:rPr>
          <w:b/>
          <w:sz w:val="22"/>
          <w:szCs w:val="22"/>
        </w:rPr>
        <w:t>Dril</w:t>
      </w:r>
      <w:r w:rsidRPr="00E96C8C">
        <w:rPr>
          <w:sz w:val="22"/>
          <w:szCs w:val="22"/>
        </w:rPr>
        <w:t>-</w:t>
      </w:r>
      <w:r w:rsidRPr="00E96C8C">
        <w:rPr>
          <w:b/>
          <w:sz w:val="22"/>
          <w:szCs w:val="22"/>
        </w:rPr>
        <w:t>Quip</w:t>
      </w:r>
      <w:r w:rsidRPr="00E96C8C">
        <w:rPr>
          <w:sz w:val="22"/>
          <w:szCs w:val="22"/>
        </w:rPr>
        <w:t xml:space="preserve"> in </w:t>
      </w:r>
      <w:r w:rsidR="00E96C8C" w:rsidRPr="00E96C8C">
        <w:rPr>
          <w:sz w:val="22"/>
          <w:szCs w:val="22"/>
        </w:rPr>
        <w:t xml:space="preserve">risers and flexible joints, subsea wellheads and trees, </w:t>
      </w:r>
      <w:r w:rsidRPr="00E96C8C">
        <w:rPr>
          <w:sz w:val="22"/>
          <w:szCs w:val="22"/>
        </w:rPr>
        <w:t xml:space="preserve">high-pressure/high-temperature (HPHT) </w:t>
      </w:r>
      <w:r w:rsidR="00BE6539">
        <w:rPr>
          <w:sz w:val="22"/>
          <w:szCs w:val="22"/>
        </w:rPr>
        <w:t>applications</w:t>
      </w:r>
      <w:r w:rsidRPr="00E96C8C">
        <w:rPr>
          <w:sz w:val="22"/>
          <w:szCs w:val="22"/>
        </w:rPr>
        <w:t>,</w:t>
      </w:r>
      <w:r w:rsidR="00E96C8C" w:rsidRPr="00E96C8C">
        <w:rPr>
          <w:sz w:val="22"/>
          <w:szCs w:val="22"/>
        </w:rPr>
        <w:t xml:space="preserve"> </w:t>
      </w:r>
      <w:r w:rsidRPr="00E96C8C">
        <w:rPr>
          <w:sz w:val="22"/>
          <w:szCs w:val="22"/>
        </w:rPr>
        <w:t xml:space="preserve">and two </w:t>
      </w:r>
      <w:r w:rsidR="00E96C8C">
        <w:rPr>
          <w:sz w:val="22"/>
          <w:szCs w:val="22"/>
        </w:rPr>
        <w:t>additional categories</w:t>
      </w:r>
      <w:r w:rsidRPr="00E96C8C">
        <w:rPr>
          <w:sz w:val="22"/>
          <w:szCs w:val="22"/>
        </w:rPr>
        <w:t xml:space="preserve">; </w:t>
      </w:r>
    </w:p>
    <w:p w14:paraId="430761A2" w14:textId="2F817E2C" w:rsidR="002D36F3" w:rsidRPr="00E96C8C" w:rsidRDefault="002D36F3" w:rsidP="004E2915">
      <w:pPr>
        <w:pStyle w:val="ListParagraph"/>
        <w:numPr>
          <w:ilvl w:val="0"/>
          <w:numId w:val="21"/>
        </w:numPr>
        <w:rPr>
          <w:sz w:val="22"/>
          <w:szCs w:val="22"/>
        </w:rPr>
      </w:pPr>
      <w:r>
        <w:rPr>
          <w:b/>
          <w:sz w:val="22"/>
          <w:szCs w:val="22"/>
        </w:rPr>
        <w:t>Frank’s International</w:t>
      </w:r>
      <w:r w:rsidRPr="002D36F3">
        <w:rPr>
          <w:sz w:val="22"/>
          <w:szCs w:val="22"/>
        </w:rPr>
        <w:t xml:space="preserve"> in </w:t>
      </w:r>
      <w:r>
        <w:rPr>
          <w:sz w:val="22"/>
          <w:szCs w:val="22"/>
        </w:rPr>
        <w:t>tubular-handling equipment;</w:t>
      </w:r>
    </w:p>
    <w:p w14:paraId="0B9B1679" w14:textId="6B65FB36" w:rsidR="004E2915" w:rsidRPr="00E34499" w:rsidRDefault="004E2915" w:rsidP="004E2915">
      <w:pPr>
        <w:pStyle w:val="ListParagraph"/>
        <w:numPr>
          <w:ilvl w:val="0"/>
          <w:numId w:val="21"/>
        </w:numPr>
        <w:rPr>
          <w:sz w:val="22"/>
          <w:szCs w:val="22"/>
        </w:rPr>
      </w:pPr>
      <w:r w:rsidRPr="00E34499">
        <w:rPr>
          <w:b/>
          <w:sz w:val="22"/>
          <w:szCs w:val="22"/>
        </w:rPr>
        <w:t>Gardner</w:t>
      </w:r>
      <w:r w:rsidRPr="00E34499">
        <w:rPr>
          <w:sz w:val="22"/>
          <w:szCs w:val="22"/>
        </w:rPr>
        <w:t xml:space="preserve"> </w:t>
      </w:r>
      <w:r w:rsidRPr="00E34499">
        <w:rPr>
          <w:b/>
          <w:sz w:val="22"/>
          <w:szCs w:val="22"/>
        </w:rPr>
        <w:t>Denver</w:t>
      </w:r>
      <w:r w:rsidRPr="00E34499">
        <w:rPr>
          <w:sz w:val="22"/>
          <w:szCs w:val="22"/>
        </w:rPr>
        <w:t xml:space="preserve"> in mud pumps, </w:t>
      </w:r>
      <w:r w:rsidR="00E34499" w:rsidRPr="00E34499">
        <w:rPr>
          <w:sz w:val="22"/>
          <w:szCs w:val="22"/>
        </w:rPr>
        <w:t xml:space="preserve">performance and reliability, </w:t>
      </w:r>
      <w:r w:rsidRPr="00E34499">
        <w:rPr>
          <w:sz w:val="22"/>
          <w:szCs w:val="22"/>
        </w:rPr>
        <w:t xml:space="preserve">shale-oriented applications, </w:t>
      </w:r>
      <w:r w:rsidR="00BE6539">
        <w:rPr>
          <w:sz w:val="22"/>
          <w:szCs w:val="22"/>
        </w:rPr>
        <w:t>harsh-environment</w:t>
      </w:r>
      <w:r w:rsidRPr="00E34499">
        <w:rPr>
          <w:sz w:val="22"/>
          <w:szCs w:val="22"/>
        </w:rPr>
        <w:t xml:space="preserve"> </w:t>
      </w:r>
      <w:r w:rsidR="00BE6539">
        <w:rPr>
          <w:sz w:val="22"/>
          <w:szCs w:val="22"/>
        </w:rPr>
        <w:t>applications</w:t>
      </w:r>
      <w:r w:rsidRPr="00E34499">
        <w:rPr>
          <w:sz w:val="22"/>
          <w:szCs w:val="22"/>
        </w:rPr>
        <w:t xml:space="preserve">, </w:t>
      </w:r>
      <w:r w:rsidR="00E34499" w:rsidRPr="00E34499">
        <w:rPr>
          <w:sz w:val="22"/>
          <w:szCs w:val="22"/>
        </w:rPr>
        <w:t xml:space="preserve">special applications, </w:t>
      </w:r>
      <w:r w:rsidRPr="00E34499">
        <w:rPr>
          <w:sz w:val="22"/>
          <w:szCs w:val="22"/>
        </w:rPr>
        <w:t xml:space="preserve">and three </w:t>
      </w:r>
      <w:r w:rsidR="00E96C8C" w:rsidRPr="00E34499">
        <w:rPr>
          <w:sz w:val="22"/>
          <w:szCs w:val="22"/>
        </w:rPr>
        <w:t>additional categories</w:t>
      </w:r>
      <w:r w:rsidRPr="00E34499">
        <w:rPr>
          <w:sz w:val="22"/>
          <w:szCs w:val="22"/>
        </w:rPr>
        <w:t>;</w:t>
      </w:r>
    </w:p>
    <w:p w14:paraId="57B9D7B4" w14:textId="58516AFB" w:rsidR="004E2915" w:rsidRDefault="004E2915" w:rsidP="004E2915">
      <w:pPr>
        <w:pStyle w:val="ListParagraph"/>
        <w:numPr>
          <w:ilvl w:val="0"/>
          <w:numId w:val="21"/>
        </w:numPr>
        <w:rPr>
          <w:sz w:val="22"/>
          <w:szCs w:val="22"/>
        </w:rPr>
      </w:pPr>
      <w:r w:rsidRPr="00E34499">
        <w:rPr>
          <w:b/>
          <w:sz w:val="22"/>
          <w:szCs w:val="22"/>
        </w:rPr>
        <w:t>Halliburton</w:t>
      </w:r>
      <w:r w:rsidRPr="00E34499">
        <w:rPr>
          <w:sz w:val="22"/>
          <w:szCs w:val="22"/>
        </w:rPr>
        <w:t xml:space="preserve"> in </w:t>
      </w:r>
      <w:r w:rsidR="00E34499" w:rsidRPr="00E34499">
        <w:rPr>
          <w:sz w:val="22"/>
          <w:szCs w:val="22"/>
        </w:rPr>
        <w:t>cementing equipment, fishing tools, intelligent sensors and controls, special applications</w:t>
      </w:r>
      <w:r w:rsidRPr="00E34499">
        <w:rPr>
          <w:sz w:val="22"/>
          <w:szCs w:val="22"/>
        </w:rPr>
        <w:t xml:space="preserve">, </w:t>
      </w:r>
      <w:r w:rsidR="00E34499" w:rsidRPr="00E34499">
        <w:rPr>
          <w:sz w:val="22"/>
          <w:szCs w:val="22"/>
        </w:rPr>
        <w:t xml:space="preserve">shale-oriented applications, </w:t>
      </w:r>
      <w:r w:rsidRPr="00E34499">
        <w:rPr>
          <w:sz w:val="22"/>
          <w:szCs w:val="22"/>
        </w:rPr>
        <w:t>and t</w:t>
      </w:r>
      <w:r w:rsidR="00E34499" w:rsidRPr="00E34499">
        <w:rPr>
          <w:sz w:val="22"/>
          <w:szCs w:val="22"/>
        </w:rPr>
        <w:t>hree</w:t>
      </w:r>
      <w:r w:rsidRPr="00E34499">
        <w:rPr>
          <w:sz w:val="22"/>
          <w:szCs w:val="22"/>
        </w:rPr>
        <w:t xml:space="preserve"> </w:t>
      </w:r>
      <w:r w:rsidR="00E96C8C" w:rsidRPr="00E34499">
        <w:rPr>
          <w:sz w:val="22"/>
          <w:szCs w:val="22"/>
        </w:rPr>
        <w:t>additional categories</w:t>
      </w:r>
      <w:r w:rsidRPr="00E34499">
        <w:rPr>
          <w:sz w:val="22"/>
          <w:szCs w:val="22"/>
        </w:rPr>
        <w:t>;</w:t>
      </w:r>
    </w:p>
    <w:p w14:paraId="46820250" w14:textId="2B63DD80" w:rsidR="000211BB" w:rsidRPr="00E34499" w:rsidRDefault="000211BB" w:rsidP="004E2915">
      <w:pPr>
        <w:pStyle w:val="ListParagraph"/>
        <w:numPr>
          <w:ilvl w:val="0"/>
          <w:numId w:val="21"/>
        </w:numPr>
        <w:rPr>
          <w:sz w:val="22"/>
          <w:szCs w:val="22"/>
        </w:rPr>
      </w:pPr>
      <w:r>
        <w:rPr>
          <w:b/>
          <w:sz w:val="22"/>
          <w:szCs w:val="22"/>
        </w:rPr>
        <w:t>Nalco Champion</w:t>
      </w:r>
      <w:r w:rsidRPr="000211BB">
        <w:rPr>
          <w:sz w:val="22"/>
          <w:szCs w:val="22"/>
        </w:rPr>
        <w:t xml:space="preserve"> in completion fluids</w:t>
      </w:r>
      <w:r>
        <w:rPr>
          <w:sz w:val="22"/>
          <w:szCs w:val="22"/>
        </w:rPr>
        <w:t xml:space="preserve"> and additives;</w:t>
      </w:r>
    </w:p>
    <w:p w14:paraId="0F94F3A1" w14:textId="7AC36F71" w:rsidR="004E2915" w:rsidRPr="002900E2" w:rsidRDefault="004E2915" w:rsidP="004E2915">
      <w:pPr>
        <w:pStyle w:val="ListParagraph"/>
        <w:numPr>
          <w:ilvl w:val="0"/>
          <w:numId w:val="21"/>
        </w:numPr>
        <w:rPr>
          <w:sz w:val="22"/>
          <w:szCs w:val="22"/>
        </w:rPr>
      </w:pPr>
      <w:r w:rsidRPr="002900E2">
        <w:rPr>
          <w:b/>
          <w:sz w:val="22"/>
          <w:szCs w:val="22"/>
        </w:rPr>
        <w:t>National Oilwell Varco</w:t>
      </w:r>
      <w:r w:rsidRPr="002900E2">
        <w:rPr>
          <w:sz w:val="22"/>
          <w:szCs w:val="22"/>
        </w:rPr>
        <w:t xml:space="preserve"> in drill pipe;</w:t>
      </w:r>
    </w:p>
    <w:p w14:paraId="605315CB" w14:textId="4EF4BC3C" w:rsidR="004E2915" w:rsidRPr="00B743BC" w:rsidRDefault="004E2915" w:rsidP="004E2915">
      <w:pPr>
        <w:pStyle w:val="ListParagraph"/>
        <w:numPr>
          <w:ilvl w:val="0"/>
          <w:numId w:val="21"/>
        </w:numPr>
        <w:rPr>
          <w:sz w:val="22"/>
          <w:szCs w:val="22"/>
        </w:rPr>
      </w:pPr>
      <w:r w:rsidRPr="00B743BC">
        <w:rPr>
          <w:b/>
          <w:sz w:val="22"/>
          <w:szCs w:val="22"/>
        </w:rPr>
        <w:t>Newpark Resources</w:t>
      </w:r>
      <w:r w:rsidRPr="00B743BC">
        <w:rPr>
          <w:sz w:val="22"/>
          <w:szCs w:val="22"/>
        </w:rPr>
        <w:t xml:space="preserve"> in drilling fluids, </w:t>
      </w:r>
      <w:r w:rsidR="00B743BC">
        <w:rPr>
          <w:sz w:val="22"/>
          <w:szCs w:val="22"/>
        </w:rPr>
        <w:t xml:space="preserve">post-sale support, </w:t>
      </w:r>
      <w:r w:rsidR="00B743BC" w:rsidRPr="00B743BC">
        <w:rPr>
          <w:sz w:val="22"/>
          <w:szCs w:val="22"/>
        </w:rPr>
        <w:t xml:space="preserve">availability and delivery, high-pressure/high-temperature (HPHT) applications, horizontal and directional </w:t>
      </w:r>
      <w:r w:rsidRPr="00B743BC">
        <w:rPr>
          <w:sz w:val="22"/>
          <w:szCs w:val="22"/>
        </w:rPr>
        <w:t xml:space="preserve">applications, </w:t>
      </w:r>
      <w:r w:rsidR="00B743BC" w:rsidRPr="00B743BC">
        <w:rPr>
          <w:sz w:val="22"/>
          <w:szCs w:val="22"/>
        </w:rPr>
        <w:t xml:space="preserve">shale-oriented </w:t>
      </w:r>
      <w:r w:rsidRPr="00B743BC">
        <w:rPr>
          <w:sz w:val="22"/>
          <w:szCs w:val="22"/>
        </w:rPr>
        <w:t xml:space="preserve">applications, and </w:t>
      </w:r>
      <w:r w:rsidR="00B743BC">
        <w:rPr>
          <w:sz w:val="22"/>
          <w:szCs w:val="22"/>
        </w:rPr>
        <w:t>five</w:t>
      </w:r>
      <w:r w:rsidRPr="00B743BC">
        <w:rPr>
          <w:sz w:val="22"/>
          <w:szCs w:val="22"/>
        </w:rPr>
        <w:t xml:space="preserve"> </w:t>
      </w:r>
      <w:r w:rsidR="00E96C8C" w:rsidRPr="00B743BC">
        <w:rPr>
          <w:sz w:val="22"/>
          <w:szCs w:val="22"/>
        </w:rPr>
        <w:t>additional categories</w:t>
      </w:r>
      <w:r w:rsidRPr="00B743BC">
        <w:rPr>
          <w:sz w:val="22"/>
          <w:szCs w:val="22"/>
        </w:rPr>
        <w:t>;</w:t>
      </w:r>
    </w:p>
    <w:p w14:paraId="6E77F053" w14:textId="767994AD" w:rsidR="004E2915" w:rsidRPr="00997474" w:rsidRDefault="004E2915" w:rsidP="004E2915">
      <w:pPr>
        <w:pStyle w:val="ListParagraph"/>
        <w:numPr>
          <w:ilvl w:val="0"/>
          <w:numId w:val="21"/>
        </w:numPr>
        <w:rPr>
          <w:sz w:val="22"/>
          <w:szCs w:val="22"/>
        </w:rPr>
      </w:pPr>
      <w:r w:rsidRPr="00997474">
        <w:rPr>
          <w:b/>
          <w:sz w:val="22"/>
          <w:szCs w:val="22"/>
        </w:rPr>
        <w:t xml:space="preserve">Nippon Steel &amp; Sumitomo Metal </w:t>
      </w:r>
      <w:r w:rsidRPr="00997474">
        <w:rPr>
          <w:sz w:val="22"/>
          <w:szCs w:val="22"/>
        </w:rPr>
        <w:t xml:space="preserve">in </w:t>
      </w:r>
      <w:r w:rsidR="00B743BC" w:rsidRPr="00997474">
        <w:rPr>
          <w:sz w:val="22"/>
          <w:szCs w:val="22"/>
        </w:rPr>
        <w:t xml:space="preserve">performance and reliability, </w:t>
      </w:r>
      <w:r w:rsidRPr="00997474">
        <w:rPr>
          <w:sz w:val="22"/>
          <w:szCs w:val="22"/>
        </w:rPr>
        <w:t xml:space="preserve">high-pressure/high-temperature (HPHT) applications, </w:t>
      </w:r>
      <w:r w:rsidR="00997474" w:rsidRPr="00997474">
        <w:rPr>
          <w:sz w:val="22"/>
          <w:szCs w:val="22"/>
        </w:rPr>
        <w:t xml:space="preserve">special applications, </w:t>
      </w:r>
      <w:r w:rsidRPr="00997474">
        <w:rPr>
          <w:sz w:val="22"/>
          <w:szCs w:val="22"/>
        </w:rPr>
        <w:t xml:space="preserve">and two </w:t>
      </w:r>
      <w:r w:rsidR="00E96C8C" w:rsidRPr="00997474">
        <w:rPr>
          <w:sz w:val="22"/>
          <w:szCs w:val="22"/>
        </w:rPr>
        <w:t>additional categories</w:t>
      </w:r>
      <w:r w:rsidRPr="00997474">
        <w:rPr>
          <w:sz w:val="22"/>
          <w:szCs w:val="22"/>
        </w:rPr>
        <w:t xml:space="preserve">; </w:t>
      </w:r>
    </w:p>
    <w:p w14:paraId="0A4B895B" w14:textId="757E3996" w:rsidR="004E2915" w:rsidRPr="00997474" w:rsidRDefault="004E2915" w:rsidP="004E2915">
      <w:pPr>
        <w:pStyle w:val="ListParagraph"/>
        <w:numPr>
          <w:ilvl w:val="0"/>
          <w:numId w:val="21"/>
        </w:numPr>
        <w:rPr>
          <w:sz w:val="22"/>
          <w:szCs w:val="22"/>
        </w:rPr>
      </w:pPr>
      <w:r w:rsidRPr="00997474">
        <w:rPr>
          <w:b/>
          <w:sz w:val="22"/>
          <w:szCs w:val="22"/>
        </w:rPr>
        <w:t>Oceaneering International</w:t>
      </w:r>
      <w:r w:rsidRPr="00997474">
        <w:rPr>
          <w:sz w:val="22"/>
          <w:szCs w:val="22"/>
        </w:rPr>
        <w:t xml:space="preserve"> in remotely operated vehicles (ROVs), </w:t>
      </w:r>
      <w:r w:rsidR="00997474" w:rsidRPr="00997474">
        <w:rPr>
          <w:sz w:val="22"/>
          <w:szCs w:val="22"/>
        </w:rPr>
        <w:t xml:space="preserve">performance and reliability, ultra-deepwater applications, </w:t>
      </w:r>
      <w:r w:rsidR="00BE6539">
        <w:rPr>
          <w:sz w:val="22"/>
          <w:szCs w:val="22"/>
        </w:rPr>
        <w:t>harsh-environment</w:t>
      </w:r>
      <w:r w:rsidRPr="00997474">
        <w:rPr>
          <w:sz w:val="22"/>
          <w:szCs w:val="22"/>
        </w:rPr>
        <w:t xml:space="preserve"> </w:t>
      </w:r>
      <w:r w:rsidR="00997474">
        <w:rPr>
          <w:sz w:val="22"/>
          <w:szCs w:val="22"/>
        </w:rPr>
        <w:t>applications</w:t>
      </w:r>
      <w:r w:rsidRPr="00997474">
        <w:rPr>
          <w:sz w:val="22"/>
          <w:szCs w:val="22"/>
        </w:rPr>
        <w:t xml:space="preserve">, and </w:t>
      </w:r>
      <w:r w:rsidR="005F7705">
        <w:rPr>
          <w:sz w:val="22"/>
          <w:szCs w:val="22"/>
        </w:rPr>
        <w:t xml:space="preserve">three </w:t>
      </w:r>
      <w:r w:rsidR="00E96C8C" w:rsidRPr="00997474">
        <w:rPr>
          <w:sz w:val="22"/>
          <w:szCs w:val="22"/>
        </w:rPr>
        <w:t>additional categories</w:t>
      </w:r>
      <w:r w:rsidRPr="00997474">
        <w:rPr>
          <w:sz w:val="22"/>
          <w:szCs w:val="22"/>
        </w:rPr>
        <w:t>;</w:t>
      </w:r>
    </w:p>
    <w:p w14:paraId="0EE11C70" w14:textId="3F457959" w:rsidR="004E2915" w:rsidRPr="005F7705" w:rsidRDefault="004E2915" w:rsidP="004E2915">
      <w:pPr>
        <w:pStyle w:val="ListParagraph"/>
        <w:numPr>
          <w:ilvl w:val="0"/>
          <w:numId w:val="21"/>
        </w:numPr>
        <w:rPr>
          <w:sz w:val="22"/>
          <w:szCs w:val="22"/>
        </w:rPr>
      </w:pPr>
      <w:r w:rsidRPr="005F7705">
        <w:rPr>
          <w:b/>
          <w:sz w:val="22"/>
          <w:szCs w:val="22"/>
        </w:rPr>
        <w:t>Oil States International</w:t>
      </w:r>
      <w:r w:rsidRPr="005F7705">
        <w:rPr>
          <w:sz w:val="22"/>
          <w:szCs w:val="22"/>
        </w:rPr>
        <w:t xml:space="preserve"> in </w:t>
      </w:r>
      <w:r w:rsidR="005F7705" w:rsidRPr="005F7705">
        <w:rPr>
          <w:sz w:val="22"/>
          <w:szCs w:val="22"/>
        </w:rPr>
        <w:t xml:space="preserve">umbilicals and controls, and </w:t>
      </w:r>
      <w:r w:rsidRPr="005F7705">
        <w:rPr>
          <w:sz w:val="22"/>
          <w:szCs w:val="22"/>
        </w:rPr>
        <w:t xml:space="preserve">engineering and design; </w:t>
      </w:r>
    </w:p>
    <w:p w14:paraId="6D0CA6E3" w14:textId="5039A447" w:rsidR="004E2915" w:rsidRPr="005F7705" w:rsidRDefault="004E2915" w:rsidP="004E2915">
      <w:pPr>
        <w:pStyle w:val="ListParagraph"/>
        <w:numPr>
          <w:ilvl w:val="0"/>
          <w:numId w:val="21"/>
        </w:numPr>
        <w:rPr>
          <w:sz w:val="22"/>
          <w:szCs w:val="22"/>
        </w:rPr>
      </w:pPr>
      <w:r w:rsidRPr="005F7705">
        <w:rPr>
          <w:b/>
          <w:sz w:val="22"/>
          <w:szCs w:val="22"/>
        </w:rPr>
        <w:t>Pason Systems</w:t>
      </w:r>
      <w:r w:rsidRPr="005F7705">
        <w:rPr>
          <w:sz w:val="22"/>
          <w:szCs w:val="22"/>
        </w:rPr>
        <w:t xml:space="preserve"> in rig instrumentation and controls, availability and delivery</w:t>
      </w:r>
      <w:r w:rsidR="005F7705" w:rsidRPr="005F7705">
        <w:rPr>
          <w:sz w:val="22"/>
          <w:szCs w:val="22"/>
        </w:rPr>
        <w:t>, and engineering and design;</w:t>
      </w:r>
    </w:p>
    <w:p w14:paraId="43948FC9" w14:textId="19213F54" w:rsidR="004E2915" w:rsidRPr="008943C1" w:rsidRDefault="004E2915" w:rsidP="004E2915">
      <w:pPr>
        <w:pStyle w:val="ListParagraph"/>
        <w:numPr>
          <w:ilvl w:val="0"/>
          <w:numId w:val="21"/>
        </w:numPr>
        <w:rPr>
          <w:sz w:val="22"/>
          <w:szCs w:val="22"/>
        </w:rPr>
      </w:pPr>
      <w:r w:rsidRPr="008943C1">
        <w:rPr>
          <w:b/>
          <w:sz w:val="22"/>
          <w:szCs w:val="22"/>
        </w:rPr>
        <w:t xml:space="preserve">Schlumberger </w:t>
      </w:r>
      <w:r w:rsidRPr="008943C1">
        <w:rPr>
          <w:sz w:val="22"/>
          <w:szCs w:val="22"/>
        </w:rPr>
        <w:t xml:space="preserve">in integrated products, </w:t>
      </w:r>
      <w:r w:rsidR="005E61F3" w:rsidRPr="008943C1">
        <w:rPr>
          <w:sz w:val="22"/>
          <w:szCs w:val="22"/>
        </w:rPr>
        <w:t xml:space="preserve">cements and slurry, production chemicals, downhole drilling equipment, downhole motors, drill bits, perforating guns, rotary steerable systems, surface wellheads and trees, </w:t>
      </w:r>
      <w:r w:rsidR="000211BB">
        <w:rPr>
          <w:sz w:val="22"/>
          <w:szCs w:val="22"/>
        </w:rPr>
        <w:t xml:space="preserve">surface production equipment, </w:t>
      </w:r>
      <w:r w:rsidR="005E61F3" w:rsidRPr="008943C1">
        <w:rPr>
          <w:sz w:val="22"/>
          <w:szCs w:val="22"/>
        </w:rPr>
        <w:t xml:space="preserve">surface BOPs, subsea BOPs, </w:t>
      </w:r>
      <w:r w:rsidRPr="008943C1">
        <w:rPr>
          <w:sz w:val="22"/>
          <w:szCs w:val="22"/>
        </w:rPr>
        <w:t xml:space="preserve">and </w:t>
      </w:r>
      <w:r w:rsidR="000211BB">
        <w:rPr>
          <w:sz w:val="22"/>
          <w:szCs w:val="22"/>
        </w:rPr>
        <w:t>six</w:t>
      </w:r>
      <w:r w:rsidRPr="008943C1">
        <w:rPr>
          <w:sz w:val="22"/>
          <w:szCs w:val="22"/>
        </w:rPr>
        <w:t xml:space="preserve"> </w:t>
      </w:r>
      <w:r w:rsidR="00E96C8C" w:rsidRPr="008943C1">
        <w:rPr>
          <w:sz w:val="22"/>
          <w:szCs w:val="22"/>
        </w:rPr>
        <w:t>additional categories</w:t>
      </w:r>
      <w:r w:rsidRPr="008943C1">
        <w:rPr>
          <w:sz w:val="22"/>
          <w:szCs w:val="22"/>
        </w:rPr>
        <w:t>;</w:t>
      </w:r>
      <w:r w:rsidR="00C14E7C">
        <w:rPr>
          <w:sz w:val="22"/>
          <w:szCs w:val="22"/>
        </w:rPr>
        <w:br/>
      </w:r>
      <w:r w:rsidR="00C14E7C">
        <w:rPr>
          <w:sz w:val="22"/>
          <w:szCs w:val="22"/>
        </w:rPr>
        <w:br/>
      </w:r>
      <w:r w:rsidR="00C14E7C">
        <w:rPr>
          <w:sz w:val="22"/>
          <w:szCs w:val="22"/>
        </w:rPr>
        <w:br/>
      </w:r>
      <w:r w:rsidR="00C14E7C">
        <w:rPr>
          <w:sz w:val="22"/>
          <w:szCs w:val="22"/>
        </w:rPr>
        <w:br/>
      </w:r>
    </w:p>
    <w:p w14:paraId="355CE0D8" w14:textId="74CC1AC4" w:rsidR="004E2915" w:rsidRPr="0013337F" w:rsidRDefault="004E2915" w:rsidP="004E2915">
      <w:pPr>
        <w:pStyle w:val="ListParagraph"/>
        <w:numPr>
          <w:ilvl w:val="0"/>
          <w:numId w:val="21"/>
        </w:numPr>
        <w:rPr>
          <w:sz w:val="22"/>
          <w:szCs w:val="22"/>
        </w:rPr>
      </w:pPr>
      <w:r w:rsidRPr="0013337F">
        <w:rPr>
          <w:b/>
          <w:sz w:val="22"/>
          <w:szCs w:val="22"/>
        </w:rPr>
        <w:lastRenderedPageBreak/>
        <w:t>TAM International</w:t>
      </w:r>
      <w:r w:rsidRPr="0013337F">
        <w:rPr>
          <w:sz w:val="22"/>
          <w:szCs w:val="22"/>
        </w:rPr>
        <w:t xml:space="preserve"> in completion packers, </w:t>
      </w:r>
      <w:r w:rsidR="005E61F3" w:rsidRPr="0013337F">
        <w:rPr>
          <w:sz w:val="22"/>
          <w:szCs w:val="22"/>
        </w:rPr>
        <w:t xml:space="preserve">downhole completion equipment, post-sale support, </w:t>
      </w:r>
      <w:r w:rsidRPr="0013337F">
        <w:rPr>
          <w:sz w:val="22"/>
          <w:szCs w:val="22"/>
        </w:rPr>
        <w:t xml:space="preserve">high-pressure/high-temperature (HPHT) applications, and </w:t>
      </w:r>
      <w:r w:rsidR="005E61F3" w:rsidRPr="0013337F">
        <w:rPr>
          <w:sz w:val="22"/>
          <w:szCs w:val="22"/>
        </w:rPr>
        <w:t>four</w:t>
      </w:r>
      <w:r w:rsidRPr="0013337F">
        <w:rPr>
          <w:sz w:val="22"/>
          <w:szCs w:val="22"/>
        </w:rPr>
        <w:t xml:space="preserve"> </w:t>
      </w:r>
      <w:r w:rsidR="00E96C8C" w:rsidRPr="0013337F">
        <w:rPr>
          <w:sz w:val="22"/>
          <w:szCs w:val="22"/>
        </w:rPr>
        <w:t>additional categories</w:t>
      </w:r>
      <w:r w:rsidRPr="0013337F">
        <w:rPr>
          <w:sz w:val="22"/>
          <w:szCs w:val="22"/>
        </w:rPr>
        <w:t>;</w:t>
      </w:r>
    </w:p>
    <w:p w14:paraId="472A9B9B" w14:textId="17BF03AE" w:rsidR="004E2915" w:rsidRPr="0013337F" w:rsidRDefault="004E2915" w:rsidP="004E2915">
      <w:pPr>
        <w:pStyle w:val="ListParagraph"/>
        <w:numPr>
          <w:ilvl w:val="0"/>
          <w:numId w:val="21"/>
        </w:numPr>
        <w:rPr>
          <w:sz w:val="22"/>
          <w:szCs w:val="22"/>
        </w:rPr>
      </w:pPr>
      <w:r w:rsidRPr="0013337F">
        <w:rPr>
          <w:b/>
          <w:sz w:val="22"/>
          <w:szCs w:val="22"/>
        </w:rPr>
        <w:t xml:space="preserve">Tenaris </w:t>
      </w:r>
      <w:r w:rsidRPr="0013337F">
        <w:rPr>
          <w:sz w:val="22"/>
          <w:szCs w:val="22"/>
        </w:rPr>
        <w:t xml:space="preserve">in </w:t>
      </w:r>
      <w:r w:rsidR="008943C1" w:rsidRPr="0013337F">
        <w:rPr>
          <w:sz w:val="22"/>
          <w:szCs w:val="22"/>
        </w:rPr>
        <w:t xml:space="preserve">horizontal and directional applications; </w:t>
      </w:r>
    </w:p>
    <w:p w14:paraId="48A05AAE" w14:textId="3222A7B7" w:rsidR="004E2915" w:rsidRPr="0013337F" w:rsidRDefault="004E2915" w:rsidP="004E2915">
      <w:pPr>
        <w:pStyle w:val="ListParagraph"/>
        <w:numPr>
          <w:ilvl w:val="0"/>
          <w:numId w:val="21"/>
        </w:numPr>
        <w:rPr>
          <w:sz w:val="22"/>
          <w:szCs w:val="22"/>
        </w:rPr>
      </w:pPr>
      <w:r w:rsidRPr="0013337F">
        <w:rPr>
          <w:b/>
          <w:sz w:val="22"/>
          <w:szCs w:val="22"/>
        </w:rPr>
        <w:t>Tesco</w:t>
      </w:r>
      <w:r w:rsidRPr="0013337F">
        <w:rPr>
          <w:sz w:val="22"/>
          <w:szCs w:val="22"/>
        </w:rPr>
        <w:t xml:space="preserve"> in top drives;</w:t>
      </w:r>
    </w:p>
    <w:p w14:paraId="7688F211" w14:textId="3A805382" w:rsidR="008943C1" w:rsidRPr="0013337F" w:rsidRDefault="008943C1" w:rsidP="004E2915">
      <w:pPr>
        <w:pStyle w:val="ListParagraph"/>
        <w:numPr>
          <w:ilvl w:val="0"/>
          <w:numId w:val="21"/>
        </w:numPr>
        <w:rPr>
          <w:sz w:val="22"/>
          <w:szCs w:val="22"/>
        </w:rPr>
      </w:pPr>
      <w:r w:rsidRPr="0013337F">
        <w:rPr>
          <w:b/>
          <w:sz w:val="22"/>
          <w:szCs w:val="22"/>
        </w:rPr>
        <w:t xml:space="preserve">U.S. Steel </w:t>
      </w:r>
      <w:r w:rsidRPr="0013337F">
        <w:rPr>
          <w:sz w:val="22"/>
          <w:szCs w:val="22"/>
        </w:rPr>
        <w:t>in production tubing, availability and delivery, and post-sale support;</w:t>
      </w:r>
    </w:p>
    <w:p w14:paraId="4AC3A917" w14:textId="44B16D91" w:rsidR="004E2915" w:rsidRPr="0013337F" w:rsidRDefault="004E2915" w:rsidP="004E2915">
      <w:pPr>
        <w:pStyle w:val="ListParagraph"/>
        <w:numPr>
          <w:ilvl w:val="0"/>
          <w:numId w:val="21"/>
        </w:numPr>
        <w:rPr>
          <w:sz w:val="22"/>
          <w:szCs w:val="22"/>
        </w:rPr>
      </w:pPr>
      <w:r w:rsidRPr="0013337F">
        <w:rPr>
          <w:b/>
          <w:sz w:val="22"/>
          <w:szCs w:val="22"/>
        </w:rPr>
        <w:t xml:space="preserve">Vallourec </w:t>
      </w:r>
      <w:r w:rsidRPr="0013337F">
        <w:rPr>
          <w:sz w:val="22"/>
          <w:szCs w:val="22"/>
        </w:rPr>
        <w:t xml:space="preserve">in tubular goods, connections and couplings, and </w:t>
      </w:r>
      <w:r w:rsidR="008943C1" w:rsidRPr="0013337F">
        <w:rPr>
          <w:sz w:val="22"/>
          <w:szCs w:val="22"/>
        </w:rPr>
        <w:t>casing tubing, and;</w:t>
      </w:r>
    </w:p>
    <w:p w14:paraId="4F3AB610" w14:textId="25353A9C" w:rsidR="004E2915" w:rsidRPr="0013337F" w:rsidRDefault="004E2915" w:rsidP="004E2915">
      <w:pPr>
        <w:pStyle w:val="ListParagraph"/>
        <w:numPr>
          <w:ilvl w:val="0"/>
          <w:numId w:val="21"/>
        </w:numPr>
        <w:rPr>
          <w:b/>
          <w:sz w:val="22"/>
          <w:szCs w:val="22"/>
          <w:u w:val="single"/>
        </w:rPr>
      </w:pPr>
      <w:r w:rsidRPr="0013337F">
        <w:rPr>
          <w:b/>
          <w:sz w:val="22"/>
          <w:szCs w:val="22"/>
        </w:rPr>
        <w:t>Weatherford International</w:t>
      </w:r>
      <w:r w:rsidRPr="0013337F">
        <w:rPr>
          <w:sz w:val="22"/>
          <w:szCs w:val="22"/>
        </w:rPr>
        <w:t xml:space="preserve"> in </w:t>
      </w:r>
      <w:r w:rsidR="008943C1" w:rsidRPr="0013337F">
        <w:rPr>
          <w:sz w:val="22"/>
          <w:szCs w:val="22"/>
        </w:rPr>
        <w:t>sand-control</w:t>
      </w:r>
      <w:r w:rsidRPr="0013337F">
        <w:rPr>
          <w:sz w:val="22"/>
          <w:szCs w:val="22"/>
        </w:rPr>
        <w:t xml:space="preserve"> equipment.</w:t>
      </w:r>
      <w:r w:rsidRPr="0013337F">
        <w:rPr>
          <w:sz w:val="22"/>
          <w:szCs w:val="22"/>
        </w:rPr>
        <w:br/>
      </w:r>
      <w:r w:rsidRPr="0013337F">
        <w:rPr>
          <w:sz w:val="22"/>
          <w:szCs w:val="22"/>
        </w:rPr>
        <w:br/>
      </w:r>
    </w:p>
    <w:p w14:paraId="2A55D1E6" w14:textId="77777777" w:rsidR="008746E4" w:rsidRPr="00FE5C6E" w:rsidRDefault="008746E4" w:rsidP="008746E4">
      <w:pPr>
        <w:rPr>
          <w:b/>
          <w:sz w:val="22"/>
          <w:szCs w:val="22"/>
          <w:u w:val="single"/>
        </w:rPr>
      </w:pPr>
      <w:r w:rsidRPr="00FE5C6E">
        <w:rPr>
          <w:b/>
          <w:sz w:val="22"/>
          <w:szCs w:val="22"/>
          <w:u w:val="single"/>
        </w:rPr>
        <w:t>Oilfield Services Segment</w:t>
      </w:r>
    </w:p>
    <w:p w14:paraId="39622D89" w14:textId="4B1710A6" w:rsidR="008746E4" w:rsidRPr="0013337F" w:rsidRDefault="008746E4" w:rsidP="008746E4">
      <w:pPr>
        <w:rPr>
          <w:sz w:val="22"/>
          <w:szCs w:val="22"/>
        </w:rPr>
      </w:pPr>
      <w:r w:rsidRPr="0013337F">
        <w:rPr>
          <w:sz w:val="22"/>
          <w:szCs w:val="22"/>
        </w:rPr>
        <w:t xml:space="preserve">Core Laboratories </w:t>
      </w:r>
      <w:r w:rsidR="0013337F" w:rsidRPr="0013337F">
        <w:rPr>
          <w:sz w:val="22"/>
          <w:szCs w:val="22"/>
        </w:rPr>
        <w:t>repeated</w:t>
      </w:r>
      <w:r w:rsidRPr="0013337F">
        <w:rPr>
          <w:sz w:val="22"/>
          <w:szCs w:val="22"/>
        </w:rPr>
        <w:t xml:space="preserve"> as the top-rated oilfield services provider </w:t>
      </w:r>
      <w:r w:rsidR="0013337F" w:rsidRPr="0013337F">
        <w:rPr>
          <w:sz w:val="22"/>
          <w:szCs w:val="22"/>
        </w:rPr>
        <w:t>in the survey. In addition to total satisfaction, t</w:t>
      </w:r>
      <w:r w:rsidRPr="0013337F">
        <w:rPr>
          <w:sz w:val="22"/>
          <w:szCs w:val="22"/>
        </w:rPr>
        <w:t xml:space="preserve">he company </w:t>
      </w:r>
      <w:r w:rsidR="0013337F" w:rsidRPr="0013337F">
        <w:rPr>
          <w:sz w:val="22"/>
          <w:szCs w:val="22"/>
        </w:rPr>
        <w:t xml:space="preserve">placed first in core and fluids analysis, </w:t>
      </w:r>
      <w:r w:rsidRPr="0013337F">
        <w:rPr>
          <w:sz w:val="22"/>
          <w:szCs w:val="22"/>
        </w:rPr>
        <w:t xml:space="preserve">formation and well evaluation, job quality, onshore applications, </w:t>
      </w:r>
      <w:r w:rsidR="0013337F" w:rsidRPr="0013337F">
        <w:rPr>
          <w:sz w:val="22"/>
          <w:szCs w:val="22"/>
        </w:rPr>
        <w:t xml:space="preserve">U.S. &amp; Canada, </w:t>
      </w:r>
      <w:r w:rsidRPr="0013337F">
        <w:rPr>
          <w:sz w:val="22"/>
          <w:szCs w:val="22"/>
        </w:rPr>
        <w:t xml:space="preserve">Middle East &amp; N. Africa, Asia &amp; Pacific Rim, and </w:t>
      </w:r>
      <w:r w:rsidR="0013337F" w:rsidRPr="0013337F">
        <w:rPr>
          <w:sz w:val="22"/>
          <w:szCs w:val="22"/>
        </w:rPr>
        <w:t>five</w:t>
      </w:r>
      <w:r w:rsidRPr="0013337F">
        <w:rPr>
          <w:sz w:val="22"/>
          <w:szCs w:val="22"/>
        </w:rPr>
        <w:t xml:space="preserve"> </w:t>
      </w:r>
      <w:r w:rsidR="00E96C8C" w:rsidRPr="0013337F">
        <w:rPr>
          <w:sz w:val="22"/>
          <w:szCs w:val="22"/>
        </w:rPr>
        <w:t>additional categories</w:t>
      </w:r>
      <w:r w:rsidRPr="0013337F">
        <w:rPr>
          <w:sz w:val="22"/>
          <w:szCs w:val="22"/>
        </w:rPr>
        <w:t>.</w:t>
      </w:r>
    </w:p>
    <w:p w14:paraId="0679B777" w14:textId="77777777" w:rsidR="008746E4" w:rsidRPr="0013337F" w:rsidRDefault="008746E4" w:rsidP="008746E4">
      <w:pPr>
        <w:rPr>
          <w:sz w:val="22"/>
          <w:szCs w:val="22"/>
        </w:rPr>
      </w:pPr>
    </w:p>
    <w:p w14:paraId="068009C7" w14:textId="50221CDD" w:rsidR="008746E4" w:rsidRPr="00623075" w:rsidRDefault="008746E4" w:rsidP="008746E4">
      <w:pPr>
        <w:rPr>
          <w:sz w:val="22"/>
          <w:szCs w:val="22"/>
        </w:rPr>
      </w:pPr>
      <w:r w:rsidRPr="00623075">
        <w:rPr>
          <w:sz w:val="22"/>
          <w:szCs w:val="22"/>
        </w:rPr>
        <w:t>Other suppliers ranking first in at least one category in the oilfield services segment include:</w:t>
      </w:r>
    </w:p>
    <w:p w14:paraId="7903DDF2" w14:textId="77777777" w:rsidR="008746E4" w:rsidRPr="004E2915" w:rsidRDefault="008746E4" w:rsidP="008746E4">
      <w:pPr>
        <w:rPr>
          <w:color w:val="0000FF"/>
          <w:sz w:val="22"/>
          <w:szCs w:val="22"/>
        </w:rPr>
      </w:pPr>
    </w:p>
    <w:p w14:paraId="24669822" w14:textId="77777777" w:rsidR="008746E4" w:rsidRPr="00623075" w:rsidRDefault="008746E4" w:rsidP="008746E4">
      <w:pPr>
        <w:pStyle w:val="ListParagraph"/>
        <w:numPr>
          <w:ilvl w:val="0"/>
          <w:numId w:val="23"/>
        </w:numPr>
        <w:rPr>
          <w:sz w:val="22"/>
          <w:szCs w:val="22"/>
        </w:rPr>
      </w:pPr>
      <w:r w:rsidRPr="00623075">
        <w:rPr>
          <w:b/>
          <w:sz w:val="22"/>
          <w:szCs w:val="22"/>
        </w:rPr>
        <w:t>Baker Hughes</w:t>
      </w:r>
      <w:r w:rsidRPr="00623075">
        <w:rPr>
          <w:sz w:val="22"/>
          <w:szCs w:val="22"/>
        </w:rPr>
        <w:t xml:space="preserve"> in perforation services;</w:t>
      </w:r>
    </w:p>
    <w:p w14:paraId="0EE716B6" w14:textId="3440C6B5" w:rsidR="008746E4" w:rsidRPr="00CF6201" w:rsidRDefault="008746E4" w:rsidP="008746E4">
      <w:pPr>
        <w:pStyle w:val="ListParagraph"/>
        <w:numPr>
          <w:ilvl w:val="0"/>
          <w:numId w:val="23"/>
        </w:numPr>
        <w:rPr>
          <w:sz w:val="22"/>
          <w:szCs w:val="22"/>
        </w:rPr>
      </w:pPr>
      <w:r w:rsidRPr="00CF6201">
        <w:rPr>
          <w:b/>
          <w:sz w:val="22"/>
          <w:szCs w:val="22"/>
        </w:rPr>
        <w:t>Basic Energy Services</w:t>
      </w:r>
      <w:r w:rsidRPr="00CF6201">
        <w:rPr>
          <w:sz w:val="22"/>
          <w:szCs w:val="22"/>
        </w:rPr>
        <w:t xml:space="preserve"> in workovers and well servicing, </w:t>
      </w:r>
      <w:r w:rsidR="00623075" w:rsidRPr="00CF6201">
        <w:rPr>
          <w:sz w:val="22"/>
          <w:szCs w:val="22"/>
        </w:rPr>
        <w:t xml:space="preserve">service and professionalism, </w:t>
      </w:r>
      <w:r w:rsidRPr="00CF6201">
        <w:rPr>
          <w:sz w:val="22"/>
          <w:szCs w:val="22"/>
        </w:rPr>
        <w:t>Interior Texas &amp; Mid-continent</w:t>
      </w:r>
      <w:r w:rsidR="00CF6201" w:rsidRPr="00CF6201">
        <w:rPr>
          <w:sz w:val="22"/>
          <w:szCs w:val="22"/>
        </w:rPr>
        <w:t>, and two additional categories;</w:t>
      </w:r>
    </w:p>
    <w:p w14:paraId="525F0D19" w14:textId="2BEBD450" w:rsidR="008746E4" w:rsidRPr="00CF6201" w:rsidRDefault="008746E4" w:rsidP="008746E4">
      <w:pPr>
        <w:pStyle w:val="ListParagraph"/>
        <w:numPr>
          <w:ilvl w:val="0"/>
          <w:numId w:val="23"/>
        </w:numPr>
        <w:rPr>
          <w:sz w:val="22"/>
          <w:szCs w:val="22"/>
        </w:rPr>
      </w:pPr>
      <w:r w:rsidRPr="00CF6201">
        <w:rPr>
          <w:b/>
          <w:sz w:val="22"/>
          <w:szCs w:val="22"/>
        </w:rPr>
        <w:t xml:space="preserve">Bourbon Offshore </w:t>
      </w:r>
      <w:r w:rsidRPr="00CF6201">
        <w:rPr>
          <w:sz w:val="22"/>
          <w:szCs w:val="22"/>
        </w:rPr>
        <w:t xml:space="preserve">in marine transportation and supply, </w:t>
      </w:r>
      <w:r w:rsidR="00CF6201" w:rsidRPr="00CF6201">
        <w:rPr>
          <w:sz w:val="22"/>
          <w:szCs w:val="22"/>
        </w:rPr>
        <w:t xml:space="preserve">platform supply vessels, and </w:t>
      </w:r>
      <w:r w:rsidRPr="00CF6201">
        <w:rPr>
          <w:sz w:val="22"/>
          <w:szCs w:val="22"/>
        </w:rPr>
        <w:t xml:space="preserve">specialty vessels; </w:t>
      </w:r>
    </w:p>
    <w:p w14:paraId="23864EC7" w14:textId="77777777" w:rsidR="008746E4" w:rsidRPr="00CF6201" w:rsidRDefault="008746E4" w:rsidP="008746E4">
      <w:pPr>
        <w:pStyle w:val="ListParagraph"/>
        <w:numPr>
          <w:ilvl w:val="0"/>
          <w:numId w:val="23"/>
        </w:numPr>
        <w:rPr>
          <w:sz w:val="22"/>
          <w:szCs w:val="22"/>
        </w:rPr>
      </w:pPr>
      <w:r w:rsidRPr="00CF6201">
        <w:rPr>
          <w:b/>
          <w:sz w:val="22"/>
          <w:szCs w:val="22"/>
        </w:rPr>
        <w:t xml:space="preserve">Bristow Group </w:t>
      </w:r>
      <w:r w:rsidRPr="00CF6201">
        <w:rPr>
          <w:sz w:val="22"/>
          <w:szCs w:val="22"/>
        </w:rPr>
        <w:t>in helicopter services;</w:t>
      </w:r>
    </w:p>
    <w:p w14:paraId="7288E1D6" w14:textId="69D4505F" w:rsidR="008746E4" w:rsidRPr="00CF6201" w:rsidRDefault="008746E4" w:rsidP="008746E4">
      <w:pPr>
        <w:pStyle w:val="ListParagraph"/>
        <w:numPr>
          <w:ilvl w:val="0"/>
          <w:numId w:val="23"/>
        </w:numPr>
        <w:rPr>
          <w:sz w:val="22"/>
          <w:szCs w:val="22"/>
        </w:rPr>
      </w:pPr>
      <w:r w:rsidRPr="00CF6201">
        <w:rPr>
          <w:b/>
          <w:sz w:val="22"/>
          <w:szCs w:val="22"/>
        </w:rPr>
        <w:t xml:space="preserve">C&amp;J Energy Services </w:t>
      </w:r>
      <w:r w:rsidR="00A31C17">
        <w:rPr>
          <w:sz w:val="22"/>
          <w:szCs w:val="22"/>
        </w:rPr>
        <w:t xml:space="preserve">in </w:t>
      </w:r>
      <w:r w:rsidRPr="00CF6201">
        <w:rPr>
          <w:sz w:val="22"/>
          <w:szCs w:val="22"/>
        </w:rPr>
        <w:t>cementing services</w:t>
      </w:r>
      <w:r w:rsidR="00CF6201" w:rsidRPr="00CF6201">
        <w:rPr>
          <w:sz w:val="22"/>
          <w:szCs w:val="22"/>
        </w:rPr>
        <w:t>, hydraulic fracturing</w:t>
      </w:r>
      <w:r w:rsidR="00A31C17">
        <w:rPr>
          <w:sz w:val="22"/>
          <w:szCs w:val="22"/>
        </w:rPr>
        <w:t xml:space="preserve">, and </w:t>
      </w:r>
      <w:r w:rsidR="00206A37" w:rsidRPr="00CF6201">
        <w:rPr>
          <w:sz w:val="22"/>
          <w:szCs w:val="22"/>
        </w:rPr>
        <w:t>U.S. Rockies &amp; Dakotas</w:t>
      </w:r>
      <w:r w:rsidR="00CF6201" w:rsidRPr="00CF6201">
        <w:rPr>
          <w:sz w:val="22"/>
          <w:szCs w:val="22"/>
        </w:rPr>
        <w:t xml:space="preserve">; </w:t>
      </w:r>
    </w:p>
    <w:p w14:paraId="5BF7ED16" w14:textId="12CE0529" w:rsidR="0013337F" w:rsidRPr="00CF6201" w:rsidRDefault="0013337F" w:rsidP="008746E4">
      <w:pPr>
        <w:pStyle w:val="ListParagraph"/>
        <w:numPr>
          <w:ilvl w:val="0"/>
          <w:numId w:val="23"/>
        </w:numPr>
        <w:rPr>
          <w:sz w:val="22"/>
          <w:szCs w:val="22"/>
        </w:rPr>
      </w:pPr>
      <w:r w:rsidRPr="00CF6201">
        <w:rPr>
          <w:b/>
          <w:sz w:val="22"/>
          <w:szCs w:val="22"/>
        </w:rPr>
        <w:t xml:space="preserve">Calfrac Well Services </w:t>
      </w:r>
      <w:r w:rsidRPr="00CF6201">
        <w:rPr>
          <w:sz w:val="22"/>
          <w:szCs w:val="22"/>
        </w:rPr>
        <w:t>in Canada</w:t>
      </w:r>
      <w:r w:rsidR="00CF6201" w:rsidRPr="00CF6201">
        <w:rPr>
          <w:sz w:val="22"/>
          <w:szCs w:val="22"/>
        </w:rPr>
        <w:t>;</w:t>
      </w:r>
    </w:p>
    <w:p w14:paraId="084CBBC4" w14:textId="6146A220" w:rsidR="008746E4" w:rsidRPr="00CF6201" w:rsidRDefault="008746E4" w:rsidP="008746E4">
      <w:pPr>
        <w:pStyle w:val="ListParagraph"/>
        <w:numPr>
          <w:ilvl w:val="0"/>
          <w:numId w:val="23"/>
        </w:numPr>
        <w:rPr>
          <w:sz w:val="22"/>
          <w:szCs w:val="22"/>
        </w:rPr>
      </w:pPr>
      <w:r w:rsidRPr="00CF6201">
        <w:rPr>
          <w:b/>
          <w:sz w:val="22"/>
          <w:szCs w:val="22"/>
        </w:rPr>
        <w:t xml:space="preserve">CGG </w:t>
      </w:r>
      <w:r w:rsidRPr="00CF6201">
        <w:rPr>
          <w:sz w:val="22"/>
          <w:szCs w:val="22"/>
        </w:rPr>
        <w:t xml:space="preserve">in geophysical services, onshore data acquisition, </w:t>
      </w:r>
      <w:r w:rsidR="00A31C17">
        <w:rPr>
          <w:sz w:val="22"/>
          <w:szCs w:val="22"/>
        </w:rPr>
        <w:t xml:space="preserve">and </w:t>
      </w:r>
      <w:r w:rsidRPr="00CF6201">
        <w:rPr>
          <w:sz w:val="22"/>
          <w:szCs w:val="22"/>
        </w:rPr>
        <w:t>data processing, imaging and modeling;</w:t>
      </w:r>
    </w:p>
    <w:p w14:paraId="02CC0CC6" w14:textId="2F3A554F" w:rsidR="008746E4" w:rsidRPr="00CF6201" w:rsidRDefault="008746E4" w:rsidP="008746E4">
      <w:pPr>
        <w:pStyle w:val="ListParagraph"/>
        <w:numPr>
          <w:ilvl w:val="0"/>
          <w:numId w:val="23"/>
        </w:numPr>
        <w:rPr>
          <w:sz w:val="22"/>
          <w:szCs w:val="22"/>
        </w:rPr>
      </w:pPr>
      <w:r w:rsidRPr="00CF6201">
        <w:rPr>
          <w:b/>
          <w:sz w:val="22"/>
          <w:szCs w:val="22"/>
        </w:rPr>
        <w:t xml:space="preserve">Delmar Systems </w:t>
      </w:r>
      <w:r w:rsidRPr="00CF6201">
        <w:rPr>
          <w:sz w:val="22"/>
          <w:szCs w:val="22"/>
        </w:rPr>
        <w:t xml:space="preserve">in mooring services, safety and environmental (HSE), and </w:t>
      </w:r>
      <w:r w:rsidR="00BE6539">
        <w:rPr>
          <w:sz w:val="22"/>
          <w:szCs w:val="22"/>
        </w:rPr>
        <w:t>harsh-environment</w:t>
      </w:r>
      <w:r w:rsidR="00623075" w:rsidRPr="00CF6201">
        <w:rPr>
          <w:sz w:val="22"/>
          <w:szCs w:val="22"/>
        </w:rPr>
        <w:t xml:space="preserve"> applications</w:t>
      </w:r>
      <w:r w:rsidRPr="00CF6201">
        <w:rPr>
          <w:sz w:val="22"/>
          <w:szCs w:val="22"/>
        </w:rPr>
        <w:t>;</w:t>
      </w:r>
    </w:p>
    <w:p w14:paraId="6912AEBE" w14:textId="7F598F47" w:rsidR="008746E4" w:rsidRPr="007C1961" w:rsidRDefault="008746E4" w:rsidP="008746E4">
      <w:pPr>
        <w:pStyle w:val="ListParagraph"/>
        <w:numPr>
          <w:ilvl w:val="0"/>
          <w:numId w:val="23"/>
        </w:numPr>
        <w:rPr>
          <w:sz w:val="22"/>
          <w:szCs w:val="22"/>
        </w:rPr>
      </w:pPr>
      <w:r w:rsidRPr="007C1961">
        <w:rPr>
          <w:b/>
          <w:sz w:val="22"/>
          <w:szCs w:val="22"/>
        </w:rPr>
        <w:t>Frank’s International</w:t>
      </w:r>
      <w:r w:rsidRPr="007C1961">
        <w:rPr>
          <w:sz w:val="22"/>
          <w:szCs w:val="22"/>
        </w:rPr>
        <w:t xml:space="preserve"> in casing and tubing installation, </w:t>
      </w:r>
      <w:r w:rsidR="00CF6201" w:rsidRPr="007C1961">
        <w:rPr>
          <w:sz w:val="22"/>
          <w:szCs w:val="22"/>
        </w:rPr>
        <w:t xml:space="preserve">completion-related services, </w:t>
      </w:r>
      <w:r w:rsidRPr="007C1961">
        <w:rPr>
          <w:sz w:val="22"/>
          <w:szCs w:val="22"/>
        </w:rPr>
        <w:t xml:space="preserve">Gulf of Mexico, </w:t>
      </w:r>
      <w:r w:rsidR="00A31C17" w:rsidRPr="007C1961">
        <w:rPr>
          <w:sz w:val="22"/>
          <w:szCs w:val="22"/>
        </w:rPr>
        <w:t>International regions</w:t>
      </w:r>
      <w:r w:rsidR="00A31C17">
        <w:rPr>
          <w:sz w:val="22"/>
          <w:szCs w:val="22"/>
        </w:rPr>
        <w:t>,</w:t>
      </w:r>
      <w:r w:rsidR="00A31C17" w:rsidRPr="007C1961">
        <w:rPr>
          <w:sz w:val="22"/>
          <w:szCs w:val="22"/>
        </w:rPr>
        <w:t xml:space="preserve"> </w:t>
      </w:r>
      <w:r w:rsidR="00623075" w:rsidRPr="007C1961">
        <w:rPr>
          <w:sz w:val="22"/>
          <w:szCs w:val="22"/>
        </w:rPr>
        <w:t xml:space="preserve">offshore </w:t>
      </w:r>
      <w:r w:rsidR="00BE6539">
        <w:rPr>
          <w:sz w:val="22"/>
          <w:szCs w:val="22"/>
        </w:rPr>
        <w:t>applications</w:t>
      </w:r>
      <w:r w:rsidR="00623075" w:rsidRPr="007C1961">
        <w:rPr>
          <w:sz w:val="22"/>
          <w:szCs w:val="22"/>
        </w:rPr>
        <w:t>,</w:t>
      </w:r>
      <w:r w:rsidR="00A31C17">
        <w:rPr>
          <w:sz w:val="22"/>
          <w:szCs w:val="22"/>
        </w:rPr>
        <w:t xml:space="preserve"> </w:t>
      </w:r>
      <w:r w:rsidR="00A31C17" w:rsidRPr="007C1961">
        <w:rPr>
          <w:sz w:val="22"/>
          <w:szCs w:val="22"/>
        </w:rPr>
        <w:t xml:space="preserve">deepwater </w:t>
      </w:r>
      <w:r w:rsidR="00BE6539">
        <w:rPr>
          <w:sz w:val="22"/>
          <w:szCs w:val="22"/>
        </w:rPr>
        <w:t>applications</w:t>
      </w:r>
      <w:r w:rsidR="00A31C17" w:rsidRPr="007C1961">
        <w:rPr>
          <w:sz w:val="22"/>
          <w:szCs w:val="22"/>
        </w:rPr>
        <w:t xml:space="preserve">, horizontal and directional </w:t>
      </w:r>
      <w:r w:rsidR="00BE6539">
        <w:rPr>
          <w:sz w:val="22"/>
          <w:szCs w:val="22"/>
        </w:rPr>
        <w:t>applications</w:t>
      </w:r>
      <w:r w:rsidR="00A31C17" w:rsidRPr="007C1961">
        <w:rPr>
          <w:sz w:val="22"/>
          <w:szCs w:val="22"/>
        </w:rPr>
        <w:t xml:space="preserve">, </w:t>
      </w:r>
      <w:r w:rsidRPr="007C1961">
        <w:rPr>
          <w:sz w:val="22"/>
          <w:szCs w:val="22"/>
        </w:rPr>
        <w:t xml:space="preserve">and </w:t>
      </w:r>
      <w:r w:rsidR="00D36911" w:rsidRPr="007C1961">
        <w:rPr>
          <w:sz w:val="22"/>
          <w:szCs w:val="22"/>
        </w:rPr>
        <w:t>five</w:t>
      </w:r>
      <w:r w:rsidR="00CF6201" w:rsidRPr="007C1961">
        <w:rPr>
          <w:sz w:val="22"/>
          <w:szCs w:val="22"/>
        </w:rPr>
        <w:t xml:space="preserve"> </w:t>
      </w:r>
      <w:r w:rsidR="00E96C8C" w:rsidRPr="007C1961">
        <w:rPr>
          <w:sz w:val="22"/>
          <w:szCs w:val="22"/>
        </w:rPr>
        <w:t>additional categories</w:t>
      </w:r>
      <w:r w:rsidRPr="007C1961">
        <w:rPr>
          <w:sz w:val="22"/>
          <w:szCs w:val="22"/>
        </w:rPr>
        <w:t xml:space="preserve">; </w:t>
      </w:r>
    </w:p>
    <w:p w14:paraId="0CC68C51" w14:textId="65B7C009" w:rsidR="008746E4" w:rsidRPr="0054774B" w:rsidRDefault="008746E4" w:rsidP="008746E4">
      <w:pPr>
        <w:pStyle w:val="ListParagraph"/>
        <w:numPr>
          <w:ilvl w:val="0"/>
          <w:numId w:val="23"/>
        </w:numPr>
        <w:rPr>
          <w:sz w:val="22"/>
          <w:szCs w:val="22"/>
        </w:rPr>
      </w:pPr>
      <w:r w:rsidRPr="0054774B">
        <w:rPr>
          <w:b/>
          <w:sz w:val="22"/>
          <w:szCs w:val="22"/>
        </w:rPr>
        <w:t xml:space="preserve">GulfMark Offshore </w:t>
      </w:r>
      <w:r w:rsidRPr="0054774B">
        <w:rPr>
          <w:sz w:val="22"/>
          <w:szCs w:val="22"/>
        </w:rPr>
        <w:t>in anchor handling tug supply (AHTS) vessels;</w:t>
      </w:r>
    </w:p>
    <w:p w14:paraId="3801A903" w14:textId="551CC3DA" w:rsidR="008746E4" w:rsidRPr="0054774B" w:rsidRDefault="008746E4" w:rsidP="008746E4">
      <w:pPr>
        <w:pStyle w:val="ListParagraph"/>
        <w:numPr>
          <w:ilvl w:val="0"/>
          <w:numId w:val="23"/>
        </w:numPr>
        <w:rPr>
          <w:sz w:val="22"/>
          <w:szCs w:val="22"/>
        </w:rPr>
      </w:pPr>
      <w:r w:rsidRPr="0054774B">
        <w:rPr>
          <w:b/>
          <w:sz w:val="22"/>
          <w:szCs w:val="22"/>
        </w:rPr>
        <w:t xml:space="preserve">Halliburton </w:t>
      </w:r>
      <w:r w:rsidRPr="0054774B">
        <w:rPr>
          <w:sz w:val="22"/>
          <w:szCs w:val="22"/>
        </w:rPr>
        <w:t xml:space="preserve">in integrated services, </w:t>
      </w:r>
      <w:r w:rsidR="0054774B" w:rsidRPr="0054774B">
        <w:rPr>
          <w:sz w:val="22"/>
          <w:szCs w:val="22"/>
        </w:rPr>
        <w:t xml:space="preserve">fishing services, performance and reliability, </w:t>
      </w:r>
      <w:r w:rsidRPr="0054774B">
        <w:rPr>
          <w:sz w:val="22"/>
          <w:szCs w:val="22"/>
        </w:rPr>
        <w:t xml:space="preserve">Asia &amp; Pacific Rim, Eastern Europe &amp; FSU, </w:t>
      </w:r>
      <w:r w:rsidR="00623075" w:rsidRPr="0054774B">
        <w:rPr>
          <w:sz w:val="22"/>
          <w:szCs w:val="22"/>
        </w:rPr>
        <w:t xml:space="preserve">Sub-Sahara Africa, </w:t>
      </w:r>
      <w:r w:rsidR="0054774B" w:rsidRPr="0054774B">
        <w:rPr>
          <w:sz w:val="22"/>
          <w:szCs w:val="22"/>
        </w:rPr>
        <w:t>North Sea, offshore shelf</w:t>
      </w:r>
      <w:r w:rsidR="00A31C17">
        <w:rPr>
          <w:sz w:val="22"/>
          <w:szCs w:val="22"/>
        </w:rPr>
        <w:t xml:space="preserve">, </w:t>
      </w:r>
      <w:r w:rsidR="00BE6539">
        <w:rPr>
          <w:sz w:val="22"/>
          <w:szCs w:val="22"/>
        </w:rPr>
        <w:t>harsh-environment</w:t>
      </w:r>
      <w:r w:rsidR="0054774B" w:rsidRPr="0054774B">
        <w:rPr>
          <w:sz w:val="22"/>
          <w:szCs w:val="22"/>
        </w:rPr>
        <w:t xml:space="preserve"> </w:t>
      </w:r>
      <w:r w:rsidR="00BE6539">
        <w:rPr>
          <w:sz w:val="22"/>
          <w:szCs w:val="22"/>
        </w:rPr>
        <w:t>applications</w:t>
      </w:r>
      <w:r w:rsidR="0054774B" w:rsidRPr="0054774B">
        <w:rPr>
          <w:sz w:val="22"/>
          <w:szCs w:val="22"/>
        </w:rPr>
        <w:t xml:space="preserve">, </w:t>
      </w:r>
      <w:r w:rsidRPr="0054774B">
        <w:rPr>
          <w:sz w:val="22"/>
          <w:szCs w:val="22"/>
        </w:rPr>
        <w:t xml:space="preserve">and five </w:t>
      </w:r>
      <w:r w:rsidR="00E96C8C" w:rsidRPr="0054774B">
        <w:rPr>
          <w:sz w:val="22"/>
          <w:szCs w:val="22"/>
        </w:rPr>
        <w:t>additional categories</w:t>
      </w:r>
      <w:r w:rsidRPr="0054774B">
        <w:rPr>
          <w:sz w:val="22"/>
          <w:szCs w:val="22"/>
        </w:rPr>
        <w:t>;</w:t>
      </w:r>
    </w:p>
    <w:p w14:paraId="32BDAAA9" w14:textId="1BCA5397" w:rsidR="008746E4" w:rsidRPr="00DD3D97" w:rsidRDefault="008746E4" w:rsidP="008746E4">
      <w:pPr>
        <w:pStyle w:val="ListParagraph"/>
        <w:numPr>
          <w:ilvl w:val="0"/>
          <w:numId w:val="23"/>
        </w:numPr>
        <w:rPr>
          <w:sz w:val="22"/>
          <w:szCs w:val="22"/>
        </w:rPr>
      </w:pPr>
      <w:r w:rsidRPr="00DD3D97">
        <w:rPr>
          <w:b/>
          <w:sz w:val="22"/>
          <w:szCs w:val="22"/>
        </w:rPr>
        <w:t xml:space="preserve">MRC Global </w:t>
      </w:r>
      <w:r w:rsidRPr="00DD3D97">
        <w:rPr>
          <w:sz w:val="22"/>
          <w:szCs w:val="22"/>
        </w:rPr>
        <w:t>in Canada;</w:t>
      </w:r>
    </w:p>
    <w:p w14:paraId="3148F5AE" w14:textId="1241B507" w:rsidR="008746E4" w:rsidRPr="00601B41" w:rsidRDefault="008746E4" w:rsidP="008746E4">
      <w:pPr>
        <w:pStyle w:val="ListParagraph"/>
        <w:numPr>
          <w:ilvl w:val="0"/>
          <w:numId w:val="23"/>
        </w:numPr>
        <w:rPr>
          <w:sz w:val="22"/>
          <w:szCs w:val="22"/>
        </w:rPr>
      </w:pPr>
      <w:r w:rsidRPr="00601B41">
        <w:rPr>
          <w:b/>
          <w:sz w:val="22"/>
          <w:szCs w:val="22"/>
        </w:rPr>
        <w:t xml:space="preserve">Newpark Resources </w:t>
      </w:r>
      <w:r w:rsidRPr="00601B41">
        <w:rPr>
          <w:sz w:val="22"/>
          <w:szCs w:val="22"/>
        </w:rPr>
        <w:t xml:space="preserve">in fluids services, </w:t>
      </w:r>
      <w:r w:rsidR="0054774B" w:rsidRPr="00601B41">
        <w:rPr>
          <w:sz w:val="22"/>
          <w:szCs w:val="22"/>
        </w:rPr>
        <w:t xml:space="preserve">drilling-related services, </w:t>
      </w:r>
      <w:r w:rsidR="00623075" w:rsidRPr="00601B41">
        <w:rPr>
          <w:sz w:val="22"/>
          <w:szCs w:val="22"/>
        </w:rPr>
        <w:t xml:space="preserve">performance and reliability, </w:t>
      </w:r>
      <w:r w:rsidR="00DD3D97" w:rsidRPr="00601B41">
        <w:rPr>
          <w:sz w:val="22"/>
          <w:szCs w:val="22"/>
        </w:rPr>
        <w:t xml:space="preserve">job quality, </w:t>
      </w:r>
      <w:r w:rsidRPr="00601B41">
        <w:rPr>
          <w:sz w:val="22"/>
          <w:szCs w:val="22"/>
        </w:rPr>
        <w:t xml:space="preserve">onshore applications, safety and environmental (HSE), </w:t>
      </w:r>
      <w:r w:rsidR="00DD3D97" w:rsidRPr="00601B41">
        <w:rPr>
          <w:sz w:val="22"/>
          <w:szCs w:val="22"/>
        </w:rPr>
        <w:t xml:space="preserve">high-pressure/high-temperature (HPHT) applications, </w:t>
      </w:r>
      <w:r w:rsidR="00623075" w:rsidRPr="00601B41">
        <w:rPr>
          <w:sz w:val="22"/>
          <w:szCs w:val="22"/>
        </w:rPr>
        <w:t xml:space="preserve">horizontal and directional applications, </w:t>
      </w:r>
      <w:r w:rsidRPr="00601B41">
        <w:rPr>
          <w:sz w:val="22"/>
          <w:szCs w:val="22"/>
        </w:rPr>
        <w:t xml:space="preserve">U.S. &amp; Canada, and five </w:t>
      </w:r>
      <w:r w:rsidR="00E96C8C" w:rsidRPr="00601B41">
        <w:rPr>
          <w:sz w:val="22"/>
          <w:szCs w:val="22"/>
        </w:rPr>
        <w:t>additional categories</w:t>
      </w:r>
      <w:r w:rsidRPr="00601B41">
        <w:rPr>
          <w:sz w:val="22"/>
          <w:szCs w:val="22"/>
        </w:rPr>
        <w:t>;</w:t>
      </w:r>
    </w:p>
    <w:p w14:paraId="5705D758" w14:textId="694A1987" w:rsidR="008746E4" w:rsidRDefault="008746E4" w:rsidP="008746E4">
      <w:pPr>
        <w:pStyle w:val="ListParagraph"/>
        <w:numPr>
          <w:ilvl w:val="0"/>
          <w:numId w:val="23"/>
        </w:numPr>
        <w:rPr>
          <w:sz w:val="22"/>
          <w:szCs w:val="22"/>
        </w:rPr>
      </w:pPr>
      <w:r w:rsidRPr="004A7811">
        <w:rPr>
          <w:b/>
          <w:sz w:val="22"/>
          <w:szCs w:val="22"/>
        </w:rPr>
        <w:t xml:space="preserve">Petroleum Geo-Services </w:t>
      </w:r>
      <w:r w:rsidRPr="004A7811">
        <w:rPr>
          <w:sz w:val="22"/>
          <w:szCs w:val="22"/>
        </w:rPr>
        <w:t xml:space="preserve">in offshore data acquisition, </w:t>
      </w:r>
      <w:r w:rsidR="008E68A0">
        <w:rPr>
          <w:sz w:val="22"/>
          <w:szCs w:val="22"/>
        </w:rPr>
        <w:t xml:space="preserve">as well as </w:t>
      </w:r>
      <w:r w:rsidRPr="004A7811">
        <w:rPr>
          <w:sz w:val="22"/>
          <w:szCs w:val="22"/>
        </w:rPr>
        <w:t>library sales and multi-client studies;</w:t>
      </w:r>
    </w:p>
    <w:p w14:paraId="5AC2400F" w14:textId="2924119E" w:rsidR="00916BA2" w:rsidRPr="00916BA2" w:rsidRDefault="00916BA2" w:rsidP="00916BA2">
      <w:pPr>
        <w:pStyle w:val="ListParagraph"/>
        <w:numPr>
          <w:ilvl w:val="0"/>
          <w:numId w:val="23"/>
        </w:numPr>
        <w:rPr>
          <w:sz w:val="22"/>
          <w:szCs w:val="22"/>
        </w:rPr>
      </w:pPr>
      <w:r w:rsidRPr="008943C1">
        <w:rPr>
          <w:b/>
          <w:sz w:val="22"/>
          <w:szCs w:val="22"/>
        </w:rPr>
        <w:t xml:space="preserve">RigNet </w:t>
      </w:r>
      <w:r w:rsidRPr="008943C1">
        <w:rPr>
          <w:sz w:val="22"/>
          <w:szCs w:val="22"/>
        </w:rPr>
        <w:t>in communications and networking;</w:t>
      </w:r>
    </w:p>
    <w:p w14:paraId="16234195" w14:textId="56EB41A2" w:rsidR="008746E4" w:rsidRPr="004A7811" w:rsidRDefault="008746E4" w:rsidP="008746E4">
      <w:pPr>
        <w:pStyle w:val="ListParagraph"/>
        <w:numPr>
          <w:ilvl w:val="0"/>
          <w:numId w:val="23"/>
        </w:numPr>
        <w:rPr>
          <w:sz w:val="22"/>
          <w:szCs w:val="22"/>
        </w:rPr>
      </w:pPr>
      <w:r w:rsidRPr="004A7811">
        <w:rPr>
          <w:b/>
          <w:sz w:val="22"/>
          <w:szCs w:val="22"/>
        </w:rPr>
        <w:t>Schlumberger</w:t>
      </w:r>
      <w:r w:rsidRPr="004A7811">
        <w:rPr>
          <w:sz w:val="22"/>
          <w:szCs w:val="22"/>
        </w:rPr>
        <w:t xml:space="preserve"> in wireline logging, logging-while-drilling (LWD), </w:t>
      </w:r>
      <w:r w:rsidR="003F0AFB" w:rsidRPr="004A7811">
        <w:rPr>
          <w:sz w:val="22"/>
          <w:szCs w:val="22"/>
        </w:rPr>
        <w:t xml:space="preserve">technology, Alaska, </w:t>
      </w:r>
      <w:r w:rsidRPr="004A7811">
        <w:rPr>
          <w:sz w:val="22"/>
          <w:szCs w:val="22"/>
        </w:rPr>
        <w:t xml:space="preserve">Latin America &amp; Mexico, high-pressure/high-temperature (HPHT) applications, </w:t>
      </w:r>
      <w:r w:rsidR="003F0AFB" w:rsidRPr="004A7811">
        <w:rPr>
          <w:sz w:val="22"/>
          <w:szCs w:val="22"/>
        </w:rPr>
        <w:t xml:space="preserve">horizontal </w:t>
      </w:r>
      <w:r w:rsidR="004A7811" w:rsidRPr="004A7811">
        <w:rPr>
          <w:sz w:val="22"/>
          <w:szCs w:val="22"/>
        </w:rPr>
        <w:t>a</w:t>
      </w:r>
      <w:r w:rsidR="003F0AFB" w:rsidRPr="004A7811">
        <w:rPr>
          <w:sz w:val="22"/>
          <w:szCs w:val="22"/>
        </w:rPr>
        <w:t xml:space="preserve">nd directional applications, </w:t>
      </w:r>
      <w:r w:rsidRPr="004A7811">
        <w:rPr>
          <w:sz w:val="22"/>
          <w:szCs w:val="22"/>
        </w:rPr>
        <w:t xml:space="preserve">deepwater applications, </w:t>
      </w:r>
      <w:r w:rsidR="003F0AFB" w:rsidRPr="004A7811">
        <w:rPr>
          <w:sz w:val="22"/>
          <w:szCs w:val="22"/>
        </w:rPr>
        <w:t xml:space="preserve">ultra-deepwater applications, special applications, </w:t>
      </w:r>
      <w:r w:rsidRPr="004A7811">
        <w:rPr>
          <w:sz w:val="22"/>
          <w:szCs w:val="22"/>
        </w:rPr>
        <w:t xml:space="preserve">and </w:t>
      </w:r>
      <w:r w:rsidR="006D3984">
        <w:rPr>
          <w:sz w:val="22"/>
          <w:szCs w:val="22"/>
        </w:rPr>
        <w:t>six</w:t>
      </w:r>
      <w:r w:rsidRPr="004A7811">
        <w:rPr>
          <w:sz w:val="22"/>
          <w:szCs w:val="22"/>
        </w:rPr>
        <w:t xml:space="preserve"> </w:t>
      </w:r>
      <w:r w:rsidR="00E96C8C" w:rsidRPr="004A7811">
        <w:rPr>
          <w:sz w:val="22"/>
          <w:szCs w:val="22"/>
        </w:rPr>
        <w:t>additional categories</w:t>
      </w:r>
      <w:r w:rsidRPr="004A7811">
        <w:rPr>
          <w:sz w:val="22"/>
          <w:szCs w:val="22"/>
        </w:rPr>
        <w:t>;</w:t>
      </w:r>
    </w:p>
    <w:p w14:paraId="6197B935" w14:textId="78831515" w:rsidR="008746E4" w:rsidRPr="004A7811" w:rsidRDefault="008746E4" w:rsidP="008746E4">
      <w:pPr>
        <w:pStyle w:val="ListParagraph"/>
        <w:numPr>
          <w:ilvl w:val="0"/>
          <w:numId w:val="23"/>
        </w:numPr>
        <w:rPr>
          <w:sz w:val="22"/>
          <w:szCs w:val="22"/>
        </w:rPr>
      </w:pPr>
      <w:r w:rsidRPr="004A7811">
        <w:rPr>
          <w:b/>
          <w:sz w:val="22"/>
          <w:szCs w:val="22"/>
        </w:rPr>
        <w:t>Scientific Drilling</w:t>
      </w:r>
      <w:r w:rsidRPr="004A7811">
        <w:rPr>
          <w:sz w:val="22"/>
          <w:szCs w:val="22"/>
        </w:rPr>
        <w:t xml:space="preserve"> in </w:t>
      </w:r>
      <w:r w:rsidR="00623075" w:rsidRPr="004A7811">
        <w:rPr>
          <w:sz w:val="22"/>
          <w:szCs w:val="22"/>
        </w:rPr>
        <w:t>technology</w:t>
      </w:r>
      <w:r w:rsidR="008E68A0">
        <w:rPr>
          <w:sz w:val="22"/>
          <w:szCs w:val="22"/>
        </w:rPr>
        <w:t xml:space="preserve"> and </w:t>
      </w:r>
      <w:r w:rsidR="003F0AFB" w:rsidRPr="004A7811">
        <w:rPr>
          <w:sz w:val="22"/>
          <w:szCs w:val="22"/>
        </w:rPr>
        <w:t>measurement-while drilling (MWD)</w:t>
      </w:r>
      <w:r w:rsidR="004A7811" w:rsidRPr="004A7811">
        <w:rPr>
          <w:sz w:val="22"/>
          <w:szCs w:val="22"/>
        </w:rPr>
        <w:t>;</w:t>
      </w:r>
    </w:p>
    <w:p w14:paraId="14A91C6B" w14:textId="0C96ED99" w:rsidR="008746E4" w:rsidRPr="004A7811" w:rsidRDefault="008746E4" w:rsidP="008746E4">
      <w:pPr>
        <w:pStyle w:val="ListParagraph"/>
        <w:numPr>
          <w:ilvl w:val="0"/>
          <w:numId w:val="23"/>
        </w:numPr>
        <w:rPr>
          <w:sz w:val="22"/>
          <w:szCs w:val="22"/>
        </w:rPr>
      </w:pPr>
      <w:r w:rsidRPr="004A7811">
        <w:rPr>
          <w:b/>
          <w:sz w:val="22"/>
          <w:szCs w:val="22"/>
        </w:rPr>
        <w:t>Tetra Technologies</w:t>
      </w:r>
      <w:r w:rsidRPr="004A7811">
        <w:rPr>
          <w:sz w:val="22"/>
          <w:szCs w:val="22"/>
        </w:rPr>
        <w:t xml:space="preserve"> in well testing, </w:t>
      </w:r>
      <w:r w:rsidR="00623075" w:rsidRPr="004A7811">
        <w:rPr>
          <w:sz w:val="22"/>
          <w:szCs w:val="22"/>
        </w:rPr>
        <w:t xml:space="preserve">special applications, </w:t>
      </w:r>
      <w:r w:rsidRPr="004A7811">
        <w:rPr>
          <w:sz w:val="22"/>
          <w:szCs w:val="22"/>
        </w:rPr>
        <w:t xml:space="preserve">high-pressure/high-temperature (HPHT) </w:t>
      </w:r>
      <w:r w:rsidR="00BE6539">
        <w:rPr>
          <w:sz w:val="22"/>
          <w:szCs w:val="22"/>
        </w:rPr>
        <w:t>applications</w:t>
      </w:r>
      <w:r w:rsidRPr="004A7811">
        <w:rPr>
          <w:sz w:val="22"/>
          <w:szCs w:val="22"/>
        </w:rPr>
        <w:t xml:space="preserve">, and </w:t>
      </w:r>
      <w:r w:rsidR="004A7811" w:rsidRPr="004A7811">
        <w:rPr>
          <w:sz w:val="22"/>
          <w:szCs w:val="22"/>
        </w:rPr>
        <w:t>two</w:t>
      </w:r>
      <w:r w:rsidRPr="004A7811">
        <w:rPr>
          <w:sz w:val="22"/>
          <w:szCs w:val="22"/>
        </w:rPr>
        <w:t xml:space="preserve"> additional categories;</w:t>
      </w:r>
    </w:p>
    <w:p w14:paraId="36B3F982" w14:textId="46B8E40F" w:rsidR="008746E4" w:rsidRPr="004A7811" w:rsidRDefault="008746E4" w:rsidP="008746E4">
      <w:pPr>
        <w:pStyle w:val="ListParagraph"/>
        <w:numPr>
          <w:ilvl w:val="0"/>
          <w:numId w:val="23"/>
        </w:numPr>
        <w:rPr>
          <w:sz w:val="22"/>
          <w:szCs w:val="22"/>
        </w:rPr>
      </w:pPr>
      <w:r w:rsidRPr="004A7811">
        <w:rPr>
          <w:b/>
          <w:sz w:val="22"/>
          <w:szCs w:val="22"/>
        </w:rPr>
        <w:t xml:space="preserve">Tidewater </w:t>
      </w:r>
      <w:r w:rsidRPr="004A7811">
        <w:rPr>
          <w:sz w:val="22"/>
          <w:szCs w:val="22"/>
        </w:rPr>
        <w:t>in fast supply vessels</w:t>
      </w:r>
      <w:r w:rsidR="004A7811" w:rsidRPr="004A7811">
        <w:rPr>
          <w:sz w:val="22"/>
          <w:szCs w:val="22"/>
        </w:rPr>
        <w:t>, and;</w:t>
      </w:r>
    </w:p>
    <w:p w14:paraId="3177B264" w14:textId="45B5CB08" w:rsidR="008746E4" w:rsidRPr="004A7811" w:rsidRDefault="008746E4" w:rsidP="008746E4">
      <w:pPr>
        <w:pStyle w:val="ListParagraph"/>
        <w:numPr>
          <w:ilvl w:val="0"/>
          <w:numId w:val="23"/>
        </w:numPr>
        <w:rPr>
          <w:sz w:val="22"/>
          <w:szCs w:val="22"/>
        </w:rPr>
      </w:pPr>
      <w:r w:rsidRPr="004A7811">
        <w:rPr>
          <w:b/>
          <w:sz w:val="22"/>
          <w:szCs w:val="22"/>
        </w:rPr>
        <w:t>Weatherford International</w:t>
      </w:r>
      <w:r w:rsidRPr="004A7811">
        <w:rPr>
          <w:sz w:val="22"/>
          <w:szCs w:val="22"/>
        </w:rPr>
        <w:t xml:space="preserve"> in directional drilling, sand control services</w:t>
      </w:r>
      <w:r w:rsidR="004A7811" w:rsidRPr="004A7811">
        <w:rPr>
          <w:sz w:val="22"/>
          <w:szCs w:val="22"/>
        </w:rPr>
        <w:t xml:space="preserve">, and Middle East &amp; N. Africa. </w:t>
      </w:r>
    </w:p>
    <w:p w14:paraId="580368B7" w14:textId="77777777" w:rsidR="008746E4" w:rsidRPr="004E2915" w:rsidRDefault="008746E4" w:rsidP="008746E4">
      <w:pPr>
        <w:rPr>
          <w:b/>
          <w:color w:val="0000FF"/>
          <w:sz w:val="22"/>
          <w:szCs w:val="22"/>
          <w:u w:val="single"/>
        </w:rPr>
      </w:pPr>
    </w:p>
    <w:p w14:paraId="699AFB85" w14:textId="1B6BBB84" w:rsidR="00604E34" w:rsidRPr="004A7811" w:rsidRDefault="00C14E7C" w:rsidP="00C32FA4">
      <w:pPr>
        <w:rPr>
          <w:sz w:val="22"/>
          <w:szCs w:val="22"/>
        </w:rPr>
      </w:pPr>
      <w:r>
        <w:rPr>
          <w:sz w:val="22"/>
          <w:szCs w:val="22"/>
        </w:rPr>
        <w:lastRenderedPageBreak/>
        <w:br/>
      </w:r>
      <w:r w:rsidR="006B3113" w:rsidRPr="006B3113">
        <w:rPr>
          <w:sz w:val="22"/>
          <w:szCs w:val="22"/>
        </w:rPr>
        <w:t>“Despite improv</w:t>
      </w:r>
      <w:r w:rsidR="006B3113">
        <w:rPr>
          <w:sz w:val="22"/>
          <w:szCs w:val="22"/>
        </w:rPr>
        <w:t>ing</w:t>
      </w:r>
      <w:r w:rsidR="006B3113" w:rsidRPr="006B3113">
        <w:rPr>
          <w:sz w:val="22"/>
          <w:szCs w:val="22"/>
        </w:rPr>
        <w:t xml:space="preserve"> conditions, </w:t>
      </w:r>
      <w:r w:rsidR="008E68A0">
        <w:rPr>
          <w:sz w:val="22"/>
          <w:szCs w:val="22"/>
        </w:rPr>
        <w:t xml:space="preserve">the reality is </w:t>
      </w:r>
      <w:r w:rsidR="00C019C1">
        <w:rPr>
          <w:sz w:val="22"/>
          <w:szCs w:val="22"/>
        </w:rPr>
        <w:t xml:space="preserve">that </w:t>
      </w:r>
      <w:r w:rsidR="006B3113" w:rsidRPr="006B3113">
        <w:rPr>
          <w:sz w:val="22"/>
          <w:szCs w:val="22"/>
        </w:rPr>
        <w:t xml:space="preserve">it’s going to take more to rebalance the </w:t>
      </w:r>
      <w:r w:rsidR="001B5FAF">
        <w:rPr>
          <w:sz w:val="22"/>
          <w:szCs w:val="22"/>
        </w:rPr>
        <w:t xml:space="preserve">oilfield </w:t>
      </w:r>
      <w:r w:rsidR="006B3113" w:rsidRPr="006B3113">
        <w:rPr>
          <w:sz w:val="22"/>
          <w:szCs w:val="22"/>
        </w:rPr>
        <w:t>suppl</w:t>
      </w:r>
      <w:r w:rsidR="008E68A0">
        <w:rPr>
          <w:sz w:val="22"/>
          <w:szCs w:val="22"/>
        </w:rPr>
        <w:t>ier</w:t>
      </w:r>
      <w:r w:rsidR="006B3113" w:rsidRPr="006B3113">
        <w:rPr>
          <w:sz w:val="22"/>
          <w:szCs w:val="22"/>
        </w:rPr>
        <w:t xml:space="preserve"> sector. The problem remains structural—too many players still chasing too few dollars,” observed Sheridan. “</w:t>
      </w:r>
      <w:r w:rsidR="008E68A0">
        <w:rPr>
          <w:sz w:val="22"/>
          <w:szCs w:val="22"/>
        </w:rPr>
        <w:t>As a result, t</w:t>
      </w:r>
      <w:r w:rsidR="006B3113" w:rsidRPr="006B3113">
        <w:rPr>
          <w:sz w:val="22"/>
          <w:szCs w:val="22"/>
        </w:rPr>
        <w:t xml:space="preserve">he advantage lies with suppliers that accept that the market remains oversupplied, understand it will likely remain so for years, and </w:t>
      </w:r>
      <w:r w:rsidR="001B5FAF">
        <w:rPr>
          <w:sz w:val="22"/>
          <w:szCs w:val="22"/>
        </w:rPr>
        <w:t xml:space="preserve">proactively </w:t>
      </w:r>
      <w:r w:rsidR="006B3113" w:rsidRPr="006B3113">
        <w:rPr>
          <w:sz w:val="22"/>
          <w:szCs w:val="22"/>
        </w:rPr>
        <w:t>set goals to provide the very best customer experience on a consistent basis.”</w:t>
      </w:r>
      <w:r>
        <w:rPr>
          <w:sz w:val="22"/>
          <w:szCs w:val="22"/>
        </w:rPr>
        <w:br/>
      </w:r>
      <w:r>
        <w:rPr>
          <w:sz w:val="22"/>
          <w:szCs w:val="22"/>
        </w:rPr>
        <w:br/>
      </w:r>
      <w:r w:rsidR="00C32FA4" w:rsidRPr="004A7811">
        <w:rPr>
          <w:b/>
          <w:sz w:val="22"/>
          <w:szCs w:val="22"/>
          <w:u w:val="single"/>
        </w:rPr>
        <w:t>Survey Information</w:t>
      </w:r>
      <w:r w:rsidR="00C32FA4" w:rsidRPr="004A7811">
        <w:rPr>
          <w:sz w:val="22"/>
          <w:szCs w:val="22"/>
        </w:rPr>
        <w:br/>
      </w:r>
      <w:r w:rsidR="00847E8F" w:rsidRPr="004A7811">
        <w:rPr>
          <w:sz w:val="22"/>
          <w:szCs w:val="22"/>
        </w:rPr>
        <w:t xml:space="preserve">EnergyPoint’s closely followed </w:t>
      </w:r>
      <w:r w:rsidR="00D41BA4" w:rsidRPr="004A7811">
        <w:rPr>
          <w:sz w:val="22"/>
          <w:szCs w:val="22"/>
        </w:rPr>
        <w:t xml:space="preserve">oilfield product and services </w:t>
      </w:r>
      <w:r w:rsidR="00847E8F" w:rsidRPr="004A7811">
        <w:rPr>
          <w:sz w:val="22"/>
          <w:szCs w:val="22"/>
        </w:rPr>
        <w:t>survey</w:t>
      </w:r>
      <w:r w:rsidR="00D41BA4" w:rsidRPr="004A7811">
        <w:rPr>
          <w:sz w:val="22"/>
          <w:szCs w:val="22"/>
        </w:rPr>
        <w:t xml:space="preserve">, which </w:t>
      </w:r>
      <w:r w:rsidR="00ED2561">
        <w:rPr>
          <w:sz w:val="22"/>
          <w:szCs w:val="22"/>
        </w:rPr>
        <w:t xml:space="preserve">is </w:t>
      </w:r>
      <w:r w:rsidR="00D41BA4" w:rsidRPr="004A7811">
        <w:rPr>
          <w:sz w:val="22"/>
          <w:szCs w:val="22"/>
        </w:rPr>
        <w:t xml:space="preserve">conducted </w:t>
      </w:r>
      <w:r w:rsidR="00604E34" w:rsidRPr="004A7811">
        <w:rPr>
          <w:sz w:val="22"/>
          <w:szCs w:val="22"/>
        </w:rPr>
        <w:t xml:space="preserve">annually </w:t>
      </w:r>
      <w:r w:rsidR="00D41BA4" w:rsidRPr="004A7811">
        <w:rPr>
          <w:sz w:val="22"/>
          <w:szCs w:val="22"/>
        </w:rPr>
        <w:t xml:space="preserve">since 2003, is </w:t>
      </w:r>
      <w:r w:rsidR="00847E8F" w:rsidRPr="004A7811">
        <w:rPr>
          <w:sz w:val="22"/>
          <w:szCs w:val="22"/>
        </w:rPr>
        <w:t xml:space="preserve">the only </w:t>
      </w:r>
      <w:r w:rsidR="00D41BA4" w:rsidRPr="004A7811">
        <w:rPr>
          <w:sz w:val="22"/>
          <w:szCs w:val="22"/>
        </w:rPr>
        <w:t xml:space="preserve">study </w:t>
      </w:r>
      <w:r w:rsidR="00847E8F" w:rsidRPr="004A7811">
        <w:rPr>
          <w:sz w:val="22"/>
          <w:szCs w:val="22"/>
        </w:rPr>
        <w:t xml:space="preserve">of </w:t>
      </w:r>
      <w:r w:rsidR="00D41BA4" w:rsidRPr="004A7811">
        <w:rPr>
          <w:sz w:val="22"/>
          <w:szCs w:val="22"/>
        </w:rPr>
        <w:t xml:space="preserve">its </w:t>
      </w:r>
      <w:r w:rsidR="00847E8F" w:rsidRPr="004A7811">
        <w:rPr>
          <w:sz w:val="22"/>
          <w:szCs w:val="22"/>
        </w:rPr>
        <w:t xml:space="preserve">kind focused on the oil and gas </w:t>
      </w:r>
      <w:r w:rsidR="00D41BA4" w:rsidRPr="004A7811">
        <w:rPr>
          <w:sz w:val="22"/>
          <w:szCs w:val="22"/>
        </w:rPr>
        <w:t xml:space="preserve">industry’s satisfaction with </w:t>
      </w:r>
      <w:r w:rsidR="00847E8F" w:rsidRPr="004A7811">
        <w:rPr>
          <w:sz w:val="22"/>
          <w:szCs w:val="22"/>
        </w:rPr>
        <w:t xml:space="preserve">upstream suppliers. </w:t>
      </w:r>
      <w:r w:rsidR="00F80F39" w:rsidRPr="004A7811">
        <w:rPr>
          <w:sz w:val="22"/>
          <w:szCs w:val="22"/>
        </w:rPr>
        <w:t>As part of the s</w:t>
      </w:r>
      <w:r w:rsidR="00847E8F" w:rsidRPr="004A7811">
        <w:rPr>
          <w:sz w:val="22"/>
          <w:szCs w:val="22"/>
        </w:rPr>
        <w:t xml:space="preserve">urvey </w:t>
      </w:r>
      <w:r w:rsidR="00F80F39" w:rsidRPr="004A7811">
        <w:rPr>
          <w:sz w:val="22"/>
          <w:szCs w:val="22"/>
        </w:rPr>
        <w:t xml:space="preserve">process, qualified </w:t>
      </w:r>
      <w:r w:rsidR="00847E8F" w:rsidRPr="004A7811">
        <w:rPr>
          <w:sz w:val="22"/>
          <w:szCs w:val="22"/>
        </w:rPr>
        <w:t xml:space="preserve">respondents </w:t>
      </w:r>
      <w:r w:rsidR="00F80F39" w:rsidRPr="004A7811">
        <w:rPr>
          <w:sz w:val="22"/>
          <w:szCs w:val="22"/>
        </w:rPr>
        <w:t xml:space="preserve">evaluate </w:t>
      </w:r>
      <w:r w:rsidR="00847E8F" w:rsidRPr="004A7811">
        <w:rPr>
          <w:sz w:val="22"/>
          <w:szCs w:val="22"/>
        </w:rPr>
        <w:t xml:space="preserve">suppliers in four segments: </w:t>
      </w:r>
      <w:r w:rsidR="00F80F39" w:rsidRPr="004A7811">
        <w:rPr>
          <w:sz w:val="22"/>
          <w:szCs w:val="22"/>
        </w:rPr>
        <w:t xml:space="preserve">oilfield </w:t>
      </w:r>
      <w:r w:rsidR="0023116F" w:rsidRPr="004A7811">
        <w:rPr>
          <w:sz w:val="22"/>
          <w:szCs w:val="22"/>
        </w:rPr>
        <w:t>services</w:t>
      </w:r>
      <w:r w:rsidR="00F80F39" w:rsidRPr="004A7811">
        <w:rPr>
          <w:sz w:val="22"/>
          <w:szCs w:val="22"/>
        </w:rPr>
        <w:t xml:space="preserve">, oilfield </w:t>
      </w:r>
      <w:r w:rsidR="0023116F" w:rsidRPr="004A7811">
        <w:rPr>
          <w:sz w:val="22"/>
          <w:szCs w:val="22"/>
        </w:rPr>
        <w:t>products</w:t>
      </w:r>
      <w:r w:rsidR="00F80F39" w:rsidRPr="004A7811">
        <w:rPr>
          <w:sz w:val="22"/>
          <w:szCs w:val="22"/>
        </w:rPr>
        <w:t>, onshore contract drilling</w:t>
      </w:r>
      <w:r w:rsidR="008E68A0">
        <w:rPr>
          <w:sz w:val="22"/>
          <w:szCs w:val="22"/>
        </w:rPr>
        <w:t xml:space="preserve"> </w:t>
      </w:r>
      <w:r w:rsidR="00F80F39" w:rsidRPr="004A7811">
        <w:rPr>
          <w:sz w:val="22"/>
          <w:szCs w:val="22"/>
        </w:rPr>
        <w:t>and offshore contract drilling.</w:t>
      </w:r>
    </w:p>
    <w:p w14:paraId="79B00E28" w14:textId="77777777" w:rsidR="00F80F39" w:rsidRPr="004A7811" w:rsidRDefault="00F80F39" w:rsidP="00C32FA4">
      <w:pPr>
        <w:rPr>
          <w:sz w:val="22"/>
          <w:szCs w:val="22"/>
        </w:rPr>
      </w:pPr>
    </w:p>
    <w:p w14:paraId="721C037F" w14:textId="5CBEB585" w:rsidR="00070959" w:rsidRPr="004A7811" w:rsidRDefault="00070959" w:rsidP="00070959">
      <w:pPr>
        <w:rPr>
          <w:sz w:val="22"/>
          <w:szCs w:val="22"/>
        </w:rPr>
      </w:pPr>
      <w:r w:rsidRPr="004A7811">
        <w:rPr>
          <w:sz w:val="22"/>
          <w:szCs w:val="22"/>
        </w:rPr>
        <w:t xml:space="preserve">For the survey, suppliers were evaluated in various areas such as total satisfaction, pricing and contract terms, performance and reliability, technology, engineering and design, job quality, safety and environmental, service and professionalism, post-sale support and corporate capabilities. Additionally, suppliers were evaluated across multiple product and service segments, well types and applications, </w:t>
      </w:r>
      <w:r w:rsidR="004A7811" w:rsidRPr="004A7811">
        <w:rPr>
          <w:sz w:val="22"/>
          <w:szCs w:val="22"/>
        </w:rPr>
        <w:t xml:space="preserve">as well as </w:t>
      </w:r>
      <w:r w:rsidRPr="004A7811">
        <w:rPr>
          <w:sz w:val="22"/>
          <w:szCs w:val="22"/>
        </w:rPr>
        <w:t xml:space="preserve">domestic and international regions. </w:t>
      </w:r>
    </w:p>
    <w:p w14:paraId="37BF1FCA" w14:textId="2C1A2AB4" w:rsidR="00070959" w:rsidRPr="008961EB" w:rsidRDefault="00BF57C3" w:rsidP="00070959">
      <w:pPr>
        <w:rPr>
          <w:sz w:val="22"/>
          <w:szCs w:val="22"/>
        </w:rPr>
      </w:pPr>
      <w:r w:rsidRPr="004E2915">
        <w:rPr>
          <w:color w:val="0000FF"/>
          <w:sz w:val="22"/>
          <w:szCs w:val="22"/>
        </w:rPr>
        <w:br/>
      </w:r>
      <w:r w:rsidR="008961EB" w:rsidRPr="008961EB">
        <w:rPr>
          <w:sz w:val="22"/>
          <w:szCs w:val="22"/>
        </w:rPr>
        <w:t xml:space="preserve">More than 120 suppliers received the minimum number of evaluations needed to be considered for EnergyPoint’s 2017 rankings. </w:t>
      </w:r>
      <w:r w:rsidR="00070959" w:rsidRPr="008961EB">
        <w:rPr>
          <w:sz w:val="22"/>
          <w:szCs w:val="22"/>
        </w:rPr>
        <w:t xml:space="preserve">For those </w:t>
      </w:r>
      <w:r w:rsidR="00ED2561">
        <w:rPr>
          <w:sz w:val="22"/>
          <w:szCs w:val="22"/>
        </w:rPr>
        <w:t xml:space="preserve">suppliers and </w:t>
      </w:r>
      <w:r w:rsidR="00070959" w:rsidRPr="008961EB">
        <w:rPr>
          <w:sz w:val="22"/>
          <w:szCs w:val="22"/>
        </w:rPr>
        <w:t>categories in which ratings exis</w:t>
      </w:r>
      <w:r w:rsidR="001B5FAF">
        <w:rPr>
          <w:sz w:val="22"/>
          <w:szCs w:val="22"/>
        </w:rPr>
        <w:t>t</w:t>
      </w:r>
      <w:r w:rsidR="00070959" w:rsidRPr="008961EB">
        <w:rPr>
          <w:sz w:val="22"/>
          <w:szCs w:val="22"/>
        </w:rPr>
        <w:t>, scores from the 201</w:t>
      </w:r>
      <w:r w:rsidR="004A7811" w:rsidRPr="008961EB">
        <w:rPr>
          <w:sz w:val="22"/>
          <w:szCs w:val="22"/>
        </w:rPr>
        <w:t>4</w:t>
      </w:r>
      <w:r w:rsidR="00070959" w:rsidRPr="008961EB">
        <w:rPr>
          <w:sz w:val="22"/>
          <w:szCs w:val="22"/>
        </w:rPr>
        <w:t>-201</w:t>
      </w:r>
      <w:r w:rsidR="004A7811" w:rsidRPr="008961EB">
        <w:rPr>
          <w:sz w:val="22"/>
          <w:szCs w:val="22"/>
        </w:rPr>
        <w:t>5</w:t>
      </w:r>
      <w:r w:rsidR="00070959" w:rsidRPr="008961EB">
        <w:rPr>
          <w:sz w:val="22"/>
          <w:szCs w:val="22"/>
        </w:rPr>
        <w:t xml:space="preserve"> survey period were included in this year's category-winner calculations at lesser weightings than for the 201</w:t>
      </w:r>
      <w:r w:rsidR="004A7811" w:rsidRPr="008961EB">
        <w:rPr>
          <w:sz w:val="22"/>
          <w:szCs w:val="22"/>
        </w:rPr>
        <w:t>6</w:t>
      </w:r>
      <w:r w:rsidR="00070959" w:rsidRPr="008961EB">
        <w:rPr>
          <w:sz w:val="22"/>
          <w:szCs w:val="22"/>
        </w:rPr>
        <w:t>-201</w:t>
      </w:r>
      <w:r w:rsidR="004A7811" w:rsidRPr="008961EB">
        <w:rPr>
          <w:sz w:val="22"/>
          <w:szCs w:val="22"/>
        </w:rPr>
        <w:t>7</w:t>
      </w:r>
      <w:r w:rsidR="00070959" w:rsidRPr="008961EB">
        <w:rPr>
          <w:sz w:val="22"/>
          <w:szCs w:val="22"/>
        </w:rPr>
        <w:t xml:space="preserve"> period. In no case were 201</w:t>
      </w:r>
      <w:r w:rsidR="004A7811" w:rsidRPr="008961EB">
        <w:rPr>
          <w:sz w:val="22"/>
          <w:szCs w:val="22"/>
        </w:rPr>
        <w:t>4</w:t>
      </w:r>
      <w:r w:rsidR="00070959" w:rsidRPr="008961EB">
        <w:rPr>
          <w:sz w:val="22"/>
          <w:szCs w:val="22"/>
        </w:rPr>
        <w:t>-201</w:t>
      </w:r>
      <w:r w:rsidR="004A7811" w:rsidRPr="008961EB">
        <w:rPr>
          <w:sz w:val="22"/>
          <w:szCs w:val="22"/>
        </w:rPr>
        <w:t>5</w:t>
      </w:r>
      <w:r w:rsidR="00070959" w:rsidRPr="008961EB">
        <w:rPr>
          <w:sz w:val="22"/>
          <w:szCs w:val="22"/>
        </w:rPr>
        <w:t xml:space="preserve"> ratings assigned a weighting of more than 20 percent for purposes of calculating </w:t>
      </w:r>
      <w:r w:rsidR="001B5FAF">
        <w:rPr>
          <w:sz w:val="22"/>
          <w:szCs w:val="22"/>
        </w:rPr>
        <w:t xml:space="preserve">final </w:t>
      </w:r>
      <w:r w:rsidR="00070959" w:rsidRPr="008961EB">
        <w:rPr>
          <w:sz w:val="22"/>
          <w:szCs w:val="22"/>
        </w:rPr>
        <w:t xml:space="preserve">winners. </w:t>
      </w:r>
    </w:p>
    <w:p w14:paraId="745BDEBC" w14:textId="037CD2E1" w:rsidR="00A80717" w:rsidRDefault="00A80717" w:rsidP="00070959">
      <w:pPr>
        <w:rPr>
          <w:sz w:val="22"/>
          <w:szCs w:val="22"/>
        </w:rPr>
      </w:pPr>
    </w:p>
    <w:p w14:paraId="726A4224" w14:textId="033655BA" w:rsidR="00C32FA4" w:rsidRPr="00C14E7C" w:rsidRDefault="00C32FA4" w:rsidP="00C32FA4">
      <w:pPr>
        <w:rPr>
          <w:sz w:val="22"/>
          <w:szCs w:val="22"/>
        </w:rPr>
      </w:pPr>
      <w:r w:rsidRPr="00C14E7C">
        <w:rPr>
          <w:sz w:val="22"/>
          <w:szCs w:val="22"/>
        </w:rPr>
        <w:t>For more information concerning EnergyPoint Research, its independent surve</w:t>
      </w:r>
      <w:r w:rsidR="001B5FAF">
        <w:rPr>
          <w:sz w:val="22"/>
          <w:szCs w:val="22"/>
        </w:rPr>
        <w:t>ys</w:t>
      </w:r>
      <w:r w:rsidRPr="00C14E7C">
        <w:rPr>
          <w:sz w:val="22"/>
          <w:szCs w:val="22"/>
        </w:rPr>
        <w:t xml:space="preserve"> or suite of research products and services, visit the company’s web site at </w:t>
      </w:r>
      <w:hyperlink r:id="rId9" w:history="1">
        <w:r w:rsidR="006778C3" w:rsidRPr="008E68A0">
          <w:rPr>
            <w:rStyle w:val="Hyperlink"/>
            <w:i/>
            <w:sz w:val="22"/>
            <w:szCs w:val="22"/>
          </w:rPr>
          <w:t>www.energypointresearch.com</w:t>
        </w:r>
      </w:hyperlink>
      <w:r w:rsidR="006778C3" w:rsidRPr="00C14E7C">
        <w:rPr>
          <w:i/>
          <w:sz w:val="22"/>
          <w:szCs w:val="22"/>
        </w:rPr>
        <w:t xml:space="preserve"> </w:t>
      </w:r>
      <w:r w:rsidRPr="00C14E7C">
        <w:rPr>
          <w:sz w:val="22"/>
          <w:szCs w:val="22"/>
        </w:rPr>
        <w:t xml:space="preserve">or contact the firm at </w:t>
      </w:r>
      <w:hyperlink r:id="rId10" w:history="1">
        <w:r w:rsidR="006778C3" w:rsidRPr="008E68A0">
          <w:rPr>
            <w:rStyle w:val="Hyperlink"/>
            <w:i/>
            <w:sz w:val="22"/>
            <w:szCs w:val="22"/>
          </w:rPr>
          <w:t>info@energypointresearch.com</w:t>
        </w:r>
      </w:hyperlink>
      <w:r w:rsidR="006778C3" w:rsidRPr="00C14E7C">
        <w:rPr>
          <w:i/>
          <w:sz w:val="22"/>
          <w:szCs w:val="22"/>
        </w:rPr>
        <w:t xml:space="preserve"> </w:t>
      </w:r>
      <w:r w:rsidR="00604E34" w:rsidRPr="00C14E7C">
        <w:rPr>
          <w:sz w:val="22"/>
          <w:szCs w:val="22"/>
        </w:rPr>
        <w:t>or +1.713.529.9450.</w:t>
      </w:r>
    </w:p>
    <w:p w14:paraId="7178455A" w14:textId="6D701AA2" w:rsidR="00070959" w:rsidRPr="00C14E7C" w:rsidRDefault="00F8750D" w:rsidP="00070959">
      <w:pPr>
        <w:rPr>
          <w:sz w:val="22"/>
          <w:szCs w:val="22"/>
        </w:rPr>
      </w:pPr>
      <w:r w:rsidRPr="004E2915">
        <w:rPr>
          <w:color w:val="0000FF"/>
          <w:sz w:val="22"/>
          <w:szCs w:val="22"/>
        </w:rPr>
        <w:br/>
      </w:r>
      <w:r w:rsidR="00070959" w:rsidRPr="00C14E7C">
        <w:rPr>
          <w:sz w:val="22"/>
          <w:szCs w:val="22"/>
        </w:rPr>
        <w:t xml:space="preserve">To learn about promotional </w:t>
      </w:r>
      <w:r w:rsidR="008961EB" w:rsidRPr="00C14E7C">
        <w:rPr>
          <w:sz w:val="22"/>
          <w:szCs w:val="22"/>
        </w:rPr>
        <w:t xml:space="preserve">programs </w:t>
      </w:r>
      <w:r w:rsidR="001B5FAF">
        <w:rPr>
          <w:sz w:val="22"/>
          <w:szCs w:val="22"/>
        </w:rPr>
        <w:t xml:space="preserve">and rules </w:t>
      </w:r>
      <w:r w:rsidR="00070959" w:rsidRPr="00C14E7C">
        <w:rPr>
          <w:sz w:val="22"/>
          <w:szCs w:val="22"/>
        </w:rPr>
        <w:t xml:space="preserve">related to </w:t>
      </w:r>
      <w:r w:rsidR="001B5FAF">
        <w:rPr>
          <w:sz w:val="22"/>
          <w:szCs w:val="22"/>
        </w:rPr>
        <w:t xml:space="preserve">EnergyPoint’s </w:t>
      </w:r>
      <w:r w:rsidR="00070959" w:rsidRPr="00C14E7C">
        <w:rPr>
          <w:sz w:val="22"/>
          <w:szCs w:val="22"/>
        </w:rPr>
        <w:t xml:space="preserve">surveys, visit the </w:t>
      </w:r>
      <w:r w:rsidR="001B5FAF">
        <w:rPr>
          <w:sz w:val="22"/>
          <w:szCs w:val="22"/>
        </w:rPr>
        <w:t xml:space="preserve">firm’s </w:t>
      </w:r>
      <w:r w:rsidR="008961EB" w:rsidRPr="00C14E7C">
        <w:rPr>
          <w:sz w:val="22"/>
          <w:szCs w:val="22"/>
        </w:rPr>
        <w:t>L</w:t>
      </w:r>
      <w:r w:rsidR="00070959" w:rsidRPr="00C14E7C">
        <w:rPr>
          <w:sz w:val="22"/>
          <w:szCs w:val="22"/>
        </w:rPr>
        <w:t xml:space="preserve">icensing </w:t>
      </w:r>
      <w:r w:rsidR="00C14E7C" w:rsidRPr="00C14E7C">
        <w:rPr>
          <w:sz w:val="22"/>
          <w:szCs w:val="22"/>
        </w:rPr>
        <w:t>&amp;</w:t>
      </w:r>
      <w:r w:rsidR="008961EB" w:rsidRPr="00C14E7C">
        <w:rPr>
          <w:sz w:val="22"/>
          <w:szCs w:val="22"/>
        </w:rPr>
        <w:t xml:space="preserve"> Promoti</w:t>
      </w:r>
      <w:r w:rsidR="00C14E7C" w:rsidRPr="00C14E7C">
        <w:rPr>
          <w:sz w:val="22"/>
          <w:szCs w:val="22"/>
        </w:rPr>
        <w:t>ons</w:t>
      </w:r>
      <w:r w:rsidR="008961EB" w:rsidRPr="00C14E7C">
        <w:rPr>
          <w:sz w:val="22"/>
          <w:szCs w:val="22"/>
        </w:rPr>
        <w:t xml:space="preserve"> Policy </w:t>
      </w:r>
      <w:r w:rsidR="00070959" w:rsidRPr="00C14E7C">
        <w:rPr>
          <w:sz w:val="22"/>
          <w:szCs w:val="22"/>
        </w:rPr>
        <w:t xml:space="preserve">at </w:t>
      </w:r>
      <w:hyperlink r:id="rId11" w:history="1">
        <w:r w:rsidR="00070959" w:rsidRPr="001B5FAF">
          <w:rPr>
            <w:rStyle w:val="Hyperlink"/>
            <w:i/>
            <w:sz w:val="22"/>
            <w:szCs w:val="22"/>
          </w:rPr>
          <w:t>http://www.energypointresearch.com/liscensing</w:t>
        </w:r>
      </w:hyperlink>
      <w:r w:rsidR="001B5FAF" w:rsidRPr="001B5FAF">
        <w:rPr>
          <w:rStyle w:val="Hyperlink"/>
          <w:color w:val="auto"/>
          <w:sz w:val="22"/>
          <w:szCs w:val="22"/>
          <w:u w:val="none"/>
        </w:rPr>
        <w:t>.</w:t>
      </w:r>
    </w:p>
    <w:p w14:paraId="79743B9B" w14:textId="0A4CAE84" w:rsidR="00070959" w:rsidRPr="004E2915" w:rsidRDefault="00024A0E">
      <w:pPr>
        <w:rPr>
          <w:color w:val="0000FF"/>
          <w:sz w:val="22"/>
          <w:szCs w:val="22"/>
        </w:rPr>
      </w:pPr>
      <w:r w:rsidRPr="00C14E7C">
        <w:rPr>
          <w:b/>
          <w:sz w:val="22"/>
          <w:szCs w:val="22"/>
          <w:u w:val="single"/>
        </w:rPr>
        <w:br/>
      </w:r>
      <w:r w:rsidR="00C24FC6" w:rsidRPr="00C14E7C">
        <w:rPr>
          <w:b/>
          <w:sz w:val="22"/>
          <w:szCs w:val="22"/>
          <w:u w:val="single"/>
        </w:rPr>
        <w:t>About EnergyPoint Research, Inc.</w:t>
      </w:r>
      <w:r w:rsidR="00E47383" w:rsidRPr="00C14E7C">
        <w:rPr>
          <w:b/>
          <w:sz w:val="22"/>
          <w:szCs w:val="22"/>
          <w:u w:val="single"/>
        </w:rPr>
        <w:br/>
      </w:r>
      <w:r w:rsidR="008961EB" w:rsidRPr="00C14E7C">
        <w:rPr>
          <w:sz w:val="22"/>
          <w:szCs w:val="22"/>
        </w:rPr>
        <w:t xml:space="preserve">EnergyPoint Research provides independent research regarding </w:t>
      </w:r>
      <w:r w:rsidR="001B5FAF">
        <w:rPr>
          <w:sz w:val="22"/>
          <w:szCs w:val="22"/>
        </w:rPr>
        <w:t xml:space="preserve">the </w:t>
      </w:r>
      <w:r w:rsidR="008961EB" w:rsidRPr="00C14E7C">
        <w:rPr>
          <w:sz w:val="22"/>
          <w:szCs w:val="22"/>
        </w:rPr>
        <w:t xml:space="preserve">customer satisfaction </w:t>
      </w:r>
      <w:r w:rsidR="001B5FAF">
        <w:rPr>
          <w:sz w:val="22"/>
          <w:szCs w:val="22"/>
        </w:rPr>
        <w:t xml:space="preserve">of suppliers of products and services to the </w:t>
      </w:r>
      <w:r w:rsidR="00C14E7C" w:rsidRPr="00C14E7C">
        <w:rPr>
          <w:sz w:val="22"/>
          <w:szCs w:val="22"/>
        </w:rPr>
        <w:t>energy</w:t>
      </w:r>
      <w:r w:rsidR="001B5FAF">
        <w:rPr>
          <w:sz w:val="22"/>
          <w:szCs w:val="22"/>
        </w:rPr>
        <w:t xml:space="preserve"> </w:t>
      </w:r>
      <w:r w:rsidR="00C14E7C" w:rsidRPr="00C14E7C">
        <w:rPr>
          <w:sz w:val="22"/>
          <w:szCs w:val="22"/>
        </w:rPr>
        <w:t>industry</w:t>
      </w:r>
      <w:r w:rsidR="001B5FAF">
        <w:rPr>
          <w:sz w:val="22"/>
          <w:szCs w:val="22"/>
        </w:rPr>
        <w:t xml:space="preserve">. </w:t>
      </w:r>
      <w:r w:rsidR="008961EB" w:rsidRPr="00C14E7C">
        <w:rPr>
          <w:sz w:val="22"/>
          <w:szCs w:val="22"/>
        </w:rPr>
        <w:t>Founded in 2003, the firm publishes annual customer satisfaction ratings and rankings in six industry segments, including: onshore drilling, offshore drilling, oilfield services, oilfield products, midstream services and gasoline retailers.</w:t>
      </w:r>
    </w:p>
    <w:sectPr w:rsidR="00070959" w:rsidRPr="004E2915" w:rsidSect="00FC3AA1">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CFA1" w14:textId="77777777" w:rsidR="0079607E" w:rsidRDefault="0079607E" w:rsidP="0039690C">
      <w:r>
        <w:separator/>
      </w:r>
    </w:p>
  </w:endnote>
  <w:endnote w:type="continuationSeparator" w:id="0">
    <w:p w14:paraId="575EC333" w14:textId="77777777" w:rsidR="0079607E" w:rsidRDefault="0079607E" w:rsidP="0039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37A30" w14:textId="77777777" w:rsidR="0079607E" w:rsidRDefault="0079607E" w:rsidP="0039690C">
      <w:r>
        <w:separator/>
      </w:r>
    </w:p>
  </w:footnote>
  <w:footnote w:type="continuationSeparator" w:id="0">
    <w:p w14:paraId="3FF8CB57" w14:textId="77777777" w:rsidR="0079607E" w:rsidRDefault="0079607E" w:rsidP="0039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CE2F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DAAE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A6C1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F891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A635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A0B1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26E2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480A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7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A89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3151D9"/>
    <w:multiLevelType w:val="hybridMultilevel"/>
    <w:tmpl w:val="592C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111FA"/>
    <w:multiLevelType w:val="hybridMultilevel"/>
    <w:tmpl w:val="CC8E1EE8"/>
    <w:lvl w:ilvl="0" w:tplc="BCE41E72">
      <w:numFmt w:val="bullet"/>
      <w:lvlText w:val="-"/>
      <w:lvlJc w:val="left"/>
      <w:pPr>
        <w:tabs>
          <w:tab w:val="num" w:pos="1080"/>
        </w:tabs>
        <w:ind w:left="1080" w:hanging="360"/>
      </w:pPr>
      <w:rPr>
        <w:rFonts w:ascii="Calibri" w:eastAsia="Calibri"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65897"/>
    <w:multiLevelType w:val="hybridMultilevel"/>
    <w:tmpl w:val="C56066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DCC2BC3"/>
    <w:multiLevelType w:val="hybridMultilevel"/>
    <w:tmpl w:val="481C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72F97"/>
    <w:multiLevelType w:val="hybridMultilevel"/>
    <w:tmpl w:val="BAC2500E"/>
    <w:lvl w:ilvl="0" w:tplc="E584817A">
      <w:start w:val="1"/>
      <w:numFmt w:val="bullet"/>
      <w:lvlText w:val=""/>
      <w:lvlJc w:val="left"/>
      <w:pPr>
        <w:tabs>
          <w:tab w:val="num" w:pos="-912"/>
        </w:tabs>
        <w:ind w:left="-912" w:hanging="360"/>
      </w:pPr>
      <w:rPr>
        <w:rFonts w:ascii="Symbol" w:hAnsi="Symbol" w:hint="default"/>
        <w:sz w:val="16"/>
        <w:szCs w:val="16"/>
      </w:rPr>
    </w:lvl>
    <w:lvl w:ilvl="1" w:tplc="04090003" w:tentative="1">
      <w:start w:val="1"/>
      <w:numFmt w:val="bullet"/>
      <w:lvlText w:val="o"/>
      <w:lvlJc w:val="left"/>
      <w:pPr>
        <w:tabs>
          <w:tab w:val="num" w:pos="168"/>
        </w:tabs>
        <w:ind w:left="168" w:hanging="360"/>
      </w:pPr>
      <w:rPr>
        <w:rFonts w:ascii="Courier New" w:hAnsi="Courier New" w:cs="Courier New" w:hint="default"/>
      </w:rPr>
    </w:lvl>
    <w:lvl w:ilvl="2" w:tplc="04090005" w:tentative="1">
      <w:start w:val="1"/>
      <w:numFmt w:val="bullet"/>
      <w:lvlText w:val=""/>
      <w:lvlJc w:val="left"/>
      <w:pPr>
        <w:tabs>
          <w:tab w:val="num" w:pos="888"/>
        </w:tabs>
        <w:ind w:left="888" w:hanging="360"/>
      </w:pPr>
      <w:rPr>
        <w:rFonts w:ascii="Wingdings" w:hAnsi="Wingdings" w:hint="default"/>
      </w:rPr>
    </w:lvl>
    <w:lvl w:ilvl="3" w:tplc="04090001" w:tentative="1">
      <w:start w:val="1"/>
      <w:numFmt w:val="bullet"/>
      <w:lvlText w:val=""/>
      <w:lvlJc w:val="left"/>
      <w:pPr>
        <w:tabs>
          <w:tab w:val="num" w:pos="1608"/>
        </w:tabs>
        <w:ind w:left="1608" w:hanging="360"/>
      </w:pPr>
      <w:rPr>
        <w:rFonts w:ascii="Symbol" w:hAnsi="Symbol" w:hint="default"/>
      </w:rPr>
    </w:lvl>
    <w:lvl w:ilvl="4" w:tplc="04090003" w:tentative="1">
      <w:start w:val="1"/>
      <w:numFmt w:val="bullet"/>
      <w:lvlText w:val="o"/>
      <w:lvlJc w:val="left"/>
      <w:pPr>
        <w:tabs>
          <w:tab w:val="num" w:pos="2328"/>
        </w:tabs>
        <w:ind w:left="2328" w:hanging="360"/>
      </w:pPr>
      <w:rPr>
        <w:rFonts w:ascii="Courier New" w:hAnsi="Courier New" w:cs="Courier New" w:hint="default"/>
      </w:rPr>
    </w:lvl>
    <w:lvl w:ilvl="5" w:tplc="04090005" w:tentative="1">
      <w:start w:val="1"/>
      <w:numFmt w:val="bullet"/>
      <w:lvlText w:val=""/>
      <w:lvlJc w:val="left"/>
      <w:pPr>
        <w:tabs>
          <w:tab w:val="num" w:pos="3048"/>
        </w:tabs>
        <w:ind w:left="3048" w:hanging="360"/>
      </w:pPr>
      <w:rPr>
        <w:rFonts w:ascii="Wingdings" w:hAnsi="Wingdings" w:hint="default"/>
      </w:rPr>
    </w:lvl>
    <w:lvl w:ilvl="6" w:tplc="04090001" w:tentative="1">
      <w:start w:val="1"/>
      <w:numFmt w:val="bullet"/>
      <w:lvlText w:val=""/>
      <w:lvlJc w:val="left"/>
      <w:pPr>
        <w:tabs>
          <w:tab w:val="num" w:pos="3768"/>
        </w:tabs>
        <w:ind w:left="3768" w:hanging="360"/>
      </w:pPr>
      <w:rPr>
        <w:rFonts w:ascii="Symbol" w:hAnsi="Symbol" w:hint="default"/>
      </w:rPr>
    </w:lvl>
    <w:lvl w:ilvl="7" w:tplc="04090003" w:tentative="1">
      <w:start w:val="1"/>
      <w:numFmt w:val="bullet"/>
      <w:lvlText w:val="o"/>
      <w:lvlJc w:val="left"/>
      <w:pPr>
        <w:tabs>
          <w:tab w:val="num" w:pos="4488"/>
        </w:tabs>
        <w:ind w:left="4488" w:hanging="360"/>
      </w:pPr>
      <w:rPr>
        <w:rFonts w:ascii="Courier New" w:hAnsi="Courier New" w:cs="Courier New" w:hint="default"/>
      </w:rPr>
    </w:lvl>
    <w:lvl w:ilvl="8" w:tplc="04090005" w:tentative="1">
      <w:start w:val="1"/>
      <w:numFmt w:val="bullet"/>
      <w:lvlText w:val=""/>
      <w:lvlJc w:val="left"/>
      <w:pPr>
        <w:tabs>
          <w:tab w:val="num" w:pos="5208"/>
        </w:tabs>
        <w:ind w:left="5208" w:hanging="360"/>
      </w:pPr>
      <w:rPr>
        <w:rFonts w:ascii="Wingdings" w:hAnsi="Wingdings" w:hint="default"/>
      </w:rPr>
    </w:lvl>
  </w:abstractNum>
  <w:abstractNum w:abstractNumId="15" w15:restartNumberingAfterBreak="0">
    <w:nsid w:val="496E48CA"/>
    <w:multiLevelType w:val="hybridMultilevel"/>
    <w:tmpl w:val="6BBE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D54AA"/>
    <w:multiLevelType w:val="hybridMultilevel"/>
    <w:tmpl w:val="81702B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5044A2D"/>
    <w:multiLevelType w:val="hybridMultilevel"/>
    <w:tmpl w:val="C78E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61929"/>
    <w:multiLevelType w:val="hybridMultilevel"/>
    <w:tmpl w:val="037CEB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33F222F"/>
    <w:multiLevelType w:val="hybridMultilevel"/>
    <w:tmpl w:val="19E6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F059C"/>
    <w:multiLevelType w:val="hybridMultilevel"/>
    <w:tmpl w:val="C484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C3837"/>
    <w:multiLevelType w:val="hybridMultilevel"/>
    <w:tmpl w:val="923A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1314A"/>
    <w:multiLevelType w:val="hybridMultilevel"/>
    <w:tmpl w:val="4E1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E5FC7"/>
    <w:multiLevelType w:val="hybridMultilevel"/>
    <w:tmpl w:val="4B0C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3"/>
  </w:num>
  <w:num w:numId="4">
    <w:abstractNumId w:val="17"/>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20"/>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2"/>
  </w:num>
  <w:num w:numId="22">
    <w:abstractNumId w:val="15"/>
  </w:num>
  <w:num w:numId="23">
    <w:abstractNumId w:val="1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C1"/>
    <w:rsid w:val="000029AF"/>
    <w:rsid w:val="000125D7"/>
    <w:rsid w:val="00014F29"/>
    <w:rsid w:val="00016F3A"/>
    <w:rsid w:val="00017486"/>
    <w:rsid w:val="00020FDE"/>
    <w:rsid w:val="000211BB"/>
    <w:rsid w:val="00022C03"/>
    <w:rsid w:val="00023BE0"/>
    <w:rsid w:val="0002439B"/>
    <w:rsid w:val="00024A0E"/>
    <w:rsid w:val="00025B29"/>
    <w:rsid w:val="00026D3C"/>
    <w:rsid w:val="000270BA"/>
    <w:rsid w:val="000270CC"/>
    <w:rsid w:val="00031642"/>
    <w:rsid w:val="00033794"/>
    <w:rsid w:val="00033F7D"/>
    <w:rsid w:val="00034B22"/>
    <w:rsid w:val="000377FD"/>
    <w:rsid w:val="0004003E"/>
    <w:rsid w:val="00044984"/>
    <w:rsid w:val="0005094C"/>
    <w:rsid w:val="00050EC4"/>
    <w:rsid w:val="00051FE5"/>
    <w:rsid w:val="00053C9F"/>
    <w:rsid w:val="0005429C"/>
    <w:rsid w:val="00054C2A"/>
    <w:rsid w:val="00056FD2"/>
    <w:rsid w:val="0005764C"/>
    <w:rsid w:val="00057ABA"/>
    <w:rsid w:val="00057BB3"/>
    <w:rsid w:val="0006267F"/>
    <w:rsid w:val="00062A32"/>
    <w:rsid w:val="00064E8C"/>
    <w:rsid w:val="000658EE"/>
    <w:rsid w:val="000659CF"/>
    <w:rsid w:val="000663EC"/>
    <w:rsid w:val="00070226"/>
    <w:rsid w:val="00070959"/>
    <w:rsid w:val="00071339"/>
    <w:rsid w:val="000735D3"/>
    <w:rsid w:val="00073791"/>
    <w:rsid w:val="000753B3"/>
    <w:rsid w:val="0008001D"/>
    <w:rsid w:val="000827AD"/>
    <w:rsid w:val="0008645F"/>
    <w:rsid w:val="00086F41"/>
    <w:rsid w:val="0009474F"/>
    <w:rsid w:val="00094E55"/>
    <w:rsid w:val="00096C15"/>
    <w:rsid w:val="000A212C"/>
    <w:rsid w:val="000A304A"/>
    <w:rsid w:val="000A38E9"/>
    <w:rsid w:val="000A46D1"/>
    <w:rsid w:val="000A53DE"/>
    <w:rsid w:val="000A6F12"/>
    <w:rsid w:val="000A7EA5"/>
    <w:rsid w:val="000B0CF0"/>
    <w:rsid w:val="000B2B23"/>
    <w:rsid w:val="000B3181"/>
    <w:rsid w:val="000B39D7"/>
    <w:rsid w:val="000B3D8B"/>
    <w:rsid w:val="000B52AB"/>
    <w:rsid w:val="000C16FE"/>
    <w:rsid w:val="000C5BB7"/>
    <w:rsid w:val="000D2499"/>
    <w:rsid w:val="000D3E58"/>
    <w:rsid w:val="000D5872"/>
    <w:rsid w:val="000D678F"/>
    <w:rsid w:val="000D6CD6"/>
    <w:rsid w:val="000E053C"/>
    <w:rsid w:val="000E10CB"/>
    <w:rsid w:val="000E1222"/>
    <w:rsid w:val="000E1228"/>
    <w:rsid w:val="000E19CE"/>
    <w:rsid w:val="000E223F"/>
    <w:rsid w:val="000E24CA"/>
    <w:rsid w:val="000E4552"/>
    <w:rsid w:val="000E634A"/>
    <w:rsid w:val="000E78DF"/>
    <w:rsid w:val="000F106D"/>
    <w:rsid w:val="000F2EC5"/>
    <w:rsid w:val="000F3DDF"/>
    <w:rsid w:val="000F3F63"/>
    <w:rsid w:val="000F4784"/>
    <w:rsid w:val="000F5BD4"/>
    <w:rsid w:val="000F6548"/>
    <w:rsid w:val="0010050D"/>
    <w:rsid w:val="00101708"/>
    <w:rsid w:val="00104EC7"/>
    <w:rsid w:val="00105CB6"/>
    <w:rsid w:val="001067AE"/>
    <w:rsid w:val="0011225A"/>
    <w:rsid w:val="001132B8"/>
    <w:rsid w:val="0011659D"/>
    <w:rsid w:val="0011667F"/>
    <w:rsid w:val="00120AF8"/>
    <w:rsid w:val="00122AC2"/>
    <w:rsid w:val="001253CD"/>
    <w:rsid w:val="00126328"/>
    <w:rsid w:val="001328DE"/>
    <w:rsid w:val="0013337F"/>
    <w:rsid w:val="001340DC"/>
    <w:rsid w:val="00135838"/>
    <w:rsid w:val="00136A7F"/>
    <w:rsid w:val="001379D4"/>
    <w:rsid w:val="00137E8F"/>
    <w:rsid w:val="00140FBA"/>
    <w:rsid w:val="00141291"/>
    <w:rsid w:val="00144393"/>
    <w:rsid w:val="00146011"/>
    <w:rsid w:val="001465C3"/>
    <w:rsid w:val="00146622"/>
    <w:rsid w:val="00155218"/>
    <w:rsid w:val="0016381E"/>
    <w:rsid w:val="00167316"/>
    <w:rsid w:val="00167FC5"/>
    <w:rsid w:val="00170FE7"/>
    <w:rsid w:val="001745CD"/>
    <w:rsid w:val="00174BE0"/>
    <w:rsid w:val="00180150"/>
    <w:rsid w:val="001807E3"/>
    <w:rsid w:val="00180B31"/>
    <w:rsid w:val="00181CA0"/>
    <w:rsid w:val="00181CC5"/>
    <w:rsid w:val="0018336C"/>
    <w:rsid w:val="00183EC6"/>
    <w:rsid w:val="00184DAE"/>
    <w:rsid w:val="00186622"/>
    <w:rsid w:val="001937B9"/>
    <w:rsid w:val="00194142"/>
    <w:rsid w:val="00197427"/>
    <w:rsid w:val="001A0DAA"/>
    <w:rsid w:val="001A283C"/>
    <w:rsid w:val="001A5D08"/>
    <w:rsid w:val="001A6AC4"/>
    <w:rsid w:val="001A7755"/>
    <w:rsid w:val="001B0E75"/>
    <w:rsid w:val="001B50BD"/>
    <w:rsid w:val="001B5FAF"/>
    <w:rsid w:val="001B7CBC"/>
    <w:rsid w:val="001C100D"/>
    <w:rsid w:val="001C1672"/>
    <w:rsid w:val="001C3240"/>
    <w:rsid w:val="001C4EAA"/>
    <w:rsid w:val="001C543D"/>
    <w:rsid w:val="001C66DE"/>
    <w:rsid w:val="001C6813"/>
    <w:rsid w:val="001D4058"/>
    <w:rsid w:val="001D5801"/>
    <w:rsid w:val="001E1802"/>
    <w:rsid w:val="001E3B68"/>
    <w:rsid w:val="001E54F3"/>
    <w:rsid w:val="001E5E18"/>
    <w:rsid w:val="001F00D4"/>
    <w:rsid w:val="001F2B92"/>
    <w:rsid w:val="00200F25"/>
    <w:rsid w:val="002027BF"/>
    <w:rsid w:val="0020315A"/>
    <w:rsid w:val="00203BAC"/>
    <w:rsid w:val="002045D4"/>
    <w:rsid w:val="00206A37"/>
    <w:rsid w:val="00213EA2"/>
    <w:rsid w:val="002168A3"/>
    <w:rsid w:val="002248DD"/>
    <w:rsid w:val="00226AD5"/>
    <w:rsid w:val="0023116F"/>
    <w:rsid w:val="00231A7F"/>
    <w:rsid w:val="002341E2"/>
    <w:rsid w:val="002344AD"/>
    <w:rsid w:val="002362A9"/>
    <w:rsid w:val="00236BAB"/>
    <w:rsid w:val="0023712F"/>
    <w:rsid w:val="00240D1F"/>
    <w:rsid w:val="00241136"/>
    <w:rsid w:val="002426F1"/>
    <w:rsid w:val="002452D7"/>
    <w:rsid w:val="00245347"/>
    <w:rsid w:val="002460C1"/>
    <w:rsid w:val="002503CD"/>
    <w:rsid w:val="0025152D"/>
    <w:rsid w:val="00252338"/>
    <w:rsid w:val="002551E9"/>
    <w:rsid w:val="00256394"/>
    <w:rsid w:val="00257F36"/>
    <w:rsid w:val="00260331"/>
    <w:rsid w:val="00263C01"/>
    <w:rsid w:val="002653D2"/>
    <w:rsid w:val="00265AB8"/>
    <w:rsid w:val="00270206"/>
    <w:rsid w:val="002716BA"/>
    <w:rsid w:val="00271E58"/>
    <w:rsid w:val="00275923"/>
    <w:rsid w:val="00281425"/>
    <w:rsid w:val="00282F1A"/>
    <w:rsid w:val="00285ABE"/>
    <w:rsid w:val="00286125"/>
    <w:rsid w:val="002900E2"/>
    <w:rsid w:val="0029145B"/>
    <w:rsid w:val="00291E1B"/>
    <w:rsid w:val="00296095"/>
    <w:rsid w:val="00296AB3"/>
    <w:rsid w:val="002A021E"/>
    <w:rsid w:val="002A0430"/>
    <w:rsid w:val="002A0A41"/>
    <w:rsid w:val="002A20AE"/>
    <w:rsid w:val="002A371F"/>
    <w:rsid w:val="002A7EA1"/>
    <w:rsid w:val="002B0A87"/>
    <w:rsid w:val="002B0D5C"/>
    <w:rsid w:val="002B5DA0"/>
    <w:rsid w:val="002B786A"/>
    <w:rsid w:val="002C30FF"/>
    <w:rsid w:val="002C3CB7"/>
    <w:rsid w:val="002C72B4"/>
    <w:rsid w:val="002C7AB1"/>
    <w:rsid w:val="002D11C5"/>
    <w:rsid w:val="002D36F3"/>
    <w:rsid w:val="002D5909"/>
    <w:rsid w:val="002E012C"/>
    <w:rsid w:val="002E0FE3"/>
    <w:rsid w:val="002E1BF0"/>
    <w:rsid w:val="002E4DCA"/>
    <w:rsid w:val="002E6BA0"/>
    <w:rsid w:val="002E6BFD"/>
    <w:rsid w:val="002E7E99"/>
    <w:rsid w:val="002F00DA"/>
    <w:rsid w:val="002F2F55"/>
    <w:rsid w:val="002F35FD"/>
    <w:rsid w:val="002F69C6"/>
    <w:rsid w:val="002F6FC1"/>
    <w:rsid w:val="00300169"/>
    <w:rsid w:val="00300B85"/>
    <w:rsid w:val="00302460"/>
    <w:rsid w:val="00302A03"/>
    <w:rsid w:val="00303E4D"/>
    <w:rsid w:val="003053CF"/>
    <w:rsid w:val="003070B1"/>
    <w:rsid w:val="00311A53"/>
    <w:rsid w:val="00314296"/>
    <w:rsid w:val="003219B1"/>
    <w:rsid w:val="00322B33"/>
    <w:rsid w:val="00323AF4"/>
    <w:rsid w:val="0032653B"/>
    <w:rsid w:val="00327234"/>
    <w:rsid w:val="00327609"/>
    <w:rsid w:val="00327FC0"/>
    <w:rsid w:val="003301D4"/>
    <w:rsid w:val="00330909"/>
    <w:rsid w:val="003327A4"/>
    <w:rsid w:val="00333E62"/>
    <w:rsid w:val="003369FE"/>
    <w:rsid w:val="00342E6F"/>
    <w:rsid w:val="00343714"/>
    <w:rsid w:val="003451FE"/>
    <w:rsid w:val="003521D9"/>
    <w:rsid w:val="003534A0"/>
    <w:rsid w:val="00354388"/>
    <w:rsid w:val="003611EE"/>
    <w:rsid w:val="00372101"/>
    <w:rsid w:val="00380004"/>
    <w:rsid w:val="00382906"/>
    <w:rsid w:val="0038299D"/>
    <w:rsid w:val="00384F55"/>
    <w:rsid w:val="003850DB"/>
    <w:rsid w:val="00386C35"/>
    <w:rsid w:val="003913DB"/>
    <w:rsid w:val="00395202"/>
    <w:rsid w:val="003962E6"/>
    <w:rsid w:val="0039655F"/>
    <w:rsid w:val="0039690C"/>
    <w:rsid w:val="003A0448"/>
    <w:rsid w:val="003A0799"/>
    <w:rsid w:val="003A0F64"/>
    <w:rsid w:val="003A2CCE"/>
    <w:rsid w:val="003A2D18"/>
    <w:rsid w:val="003A34B1"/>
    <w:rsid w:val="003A34ED"/>
    <w:rsid w:val="003A37EB"/>
    <w:rsid w:val="003A3A7C"/>
    <w:rsid w:val="003A5A82"/>
    <w:rsid w:val="003A7A79"/>
    <w:rsid w:val="003B02C2"/>
    <w:rsid w:val="003B0379"/>
    <w:rsid w:val="003B153F"/>
    <w:rsid w:val="003B1886"/>
    <w:rsid w:val="003B2C29"/>
    <w:rsid w:val="003B4CB5"/>
    <w:rsid w:val="003B5E63"/>
    <w:rsid w:val="003B670C"/>
    <w:rsid w:val="003C3B1F"/>
    <w:rsid w:val="003C437C"/>
    <w:rsid w:val="003C6392"/>
    <w:rsid w:val="003D24F4"/>
    <w:rsid w:val="003D38D0"/>
    <w:rsid w:val="003D5706"/>
    <w:rsid w:val="003D5953"/>
    <w:rsid w:val="003D5F22"/>
    <w:rsid w:val="003D65C0"/>
    <w:rsid w:val="003D65FE"/>
    <w:rsid w:val="003D7643"/>
    <w:rsid w:val="003E5E47"/>
    <w:rsid w:val="003E6353"/>
    <w:rsid w:val="003E7153"/>
    <w:rsid w:val="003E7CBC"/>
    <w:rsid w:val="003F0AFB"/>
    <w:rsid w:val="003F41DA"/>
    <w:rsid w:val="003F58A7"/>
    <w:rsid w:val="003F73BB"/>
    <w:rsid w:val="0040388F"/>
    <w:rsid w:val="00403BF2"/>
    <w:rsid w:val="004046EE"/>
    <w:rsid w:val="00404FD8"/>
    <w:rsid w:val="00405B32"/>
    <w:rsid w:val="004117DC"/>
    <w:rsid w:val="004131CE"/>
    <w:rsid w:val="00413886"/>
    <w:rsid w:val="00413F98"/>
    <w:rsid w:val="00422140"/>
    <w:rsid w:val="004223F1"/>
    <w:rsid w:val="004246F5"/>
    <w:rsid w:val="0042611D"/>
    <w:rsid w:val="00426791"/>
    <w:rsid w:val="00427AA0"/>
    <w:rsid w:val="00430CFA"/>
    <w:rsid w:val="004316D0"/>
    <w:rsid w:val="00432E0C"/>
    <w:rsid w:val="00434972"/>
    <w:rsid w:val="0043531D"/>
    <w:rsid w:val="00437EAD"/>
    <w:rsid w:val="00440841"/>
    <w:rsid w:val="0044122C"/>
    <w:rsid w:val="00442FA2"/>
    <w:rsid w:val="00445FBF"/>
    <w:rsid w:val="00447931"/>
    <w:rsid w:val="0045189A"/>
    <w:rsid w:val="00454B7C"/>
    <w:rsid w:val="00456F9D"/>
    <w:rsid w:val="00461C88"/>
    <w:rsid w:val="0046272B"/>
    <w:rsid w:val="004635CA"/>
    <w:rsid w:val="0046393E"/>
    <w:rsid w:val="004642B4"/>
    <w:rsid w:val="00464A33"/>
    <w:rsid w:val="004679E4"/>
    <w:rsid w:val="004717D0"/>
    <w:rsid w:val="00472196"/>
    <w:rsid w:val="00473F74"/>
    <w:rsid w:val="00474B7E"/>
    <w:rsid w:val="00482D0C"/>
    <w:rsid w:val="004831B0"/>
    <w:rsid w:val="004835BF"/>
    <w:rsid w:val="00483F9A"/>
    <w:rsid w:val="004840C5"/>
    <w:rsid w:val="00485A08"/>
    <w:rsid w:val="004875A1"/>
    <w:rsid w:val="00490107"/>
    <w:rsid w:val="004914C6"/>
    <w:rsid w:val="00492A45"/>
    <w:rsid w:val="0049466C"/>
    <w:rsid w:val="00494A3D"/>
    <w:rsid w:val="00496349"/>
    <w:rsid w:val="00496754"/>
    <w:rsid w:val="0049795F"/>
    <w:rsid w:val="004A0C74"/>
    <w:rsid w:val="004A38FE"/>
    <w:rsid w:val="004A4218"/>
    <w:rsid w:val="004A7811"/>
    <w:rsid w:val="004B2513"/>
    <w:rsid w:val="004B343D"/>
    <w:rsid w:val="004B4BA9"/>
    <w:rsid w:val="004B60AA"/>
    <w:rsid w:val="004B64C7"/>
    <w:rsid w:val="004C1249"/>
    <w:rsid w:val="004C1DE9"/>
    <w:rsid w:val="004C3278"/>
    <w:rsid w:val="004C4CB9"/>
    <w:rsid w:val="004C5259"/>
    <w:rsid w:val="004C757B"/>
    <w:rsid w:val="004D0357"/>
    <w:rsid w:val="004D17DF"/>
    <w:rsid w:val="004D2BF9"/>
    <w:rsid w:val="004D3F1D"/>
    <w:rsid w:val="004D6777"/>
    <w:rsid w:val="004E1868"/>
    <w:rsid w:val="004E2915"/>
    <w:rsid w:val="004E7FD1"/>
    <w:rsid w:val="004F043F"/>
    <w:rsid w:val="004F1B89"/>
    <w:rsid w:val="004F2DE9"/>
    <w:rsid w:val="004F4921"/>
    <w:rsid w:val="004F5F3D"/>
    <w:rsid w:val="004F7707"/>
    <w:rsid w:val="005022BA"/>
    <w:rsid w:val="00503E8C"/>
    <w:rsid w:val="00506365"/>
    <w:rsid w:val="005072F0"/>
    <w:rsid w:val="005122DD"/>
    <w:rsid w:val="00515F34"/>
    <w:rsid w:val="00520A55"/>
    <w:rsid w:val="005213E6"/>
    <w:rsid w:val="00525276"/>
    <w:rsid w:val="00525975"/>
    <w:rsid w:val="00527740"/>
    <w:rsid w:val="005278A5"/>
    <w:rsid w:val="005308DB"/>
    <w:rsid w:val="00530EA2"/>
    <w:rsid w:val="00530F69"/>
    <w:rsid w:val="00535BFB"/>
    <w:rsid w:val="00540C5F"/>
    <w:rsid w:val="005449B0"/>
    <w:rsid w:val="0054774B"/>
    <w:rsid w:val="00551CCD"/>
    <w:rsid w:val="005536B0"/>
    <w:rsid w:val="005604A2"/>
    <w:rsid w:val="005607C1"/>
    <w:rsid w:val="0056422D"/>
    <w:rsid w:val="00565CEC"/>
    <w:rsid w:val="0057285A"/>
    <w:rsid w:val="005745D9"/>
    <w:rsid w:val="0057475F"/>
    <w:rsid w:val="0057541E"/>
    <w:rsid w:val="00576AB2"/>
    <w:rsid w:val="00576BE3"/>
    <w:rsid w:val="00577149"/>
    <w:rsid w:val="005777BF"/>
    <w:rsid w:val="005818F7"/>
    <w:rsid w:val="00582629"/>
    <w:rsid w:val="00584506"/>
    <w:rsid w:val="0058500E"/>
    <w:rsid w:val="005862E1"/>
    <w:rsid w:val="0058716F"/>
    <w:rsid w:val="00587999"/>
    <w:rsid w:val="00590576"/>
    <w:rsid w:val="00592613"/>
    <w:rsid w:val="00592E1E"/>
    <w:rsid w:val="00593AE6"/>
    <w:rsid w:val="005944EC"/>
    <w:rsid w:val="00594F5F"/>
    <w:rsid w:val="00595707"/>
    <w:rsid w:val="00596054"/>
    <w:rsid w:val="0059618B"/>
    <w:rsid w:val="00596860"/>
    <w:rsid w:val="005973B1"/>
    <w:rsid w:val="005A265C"/>
    <w:rsid w:val="005A7EBD"/>
    <w:rsid w:val="005B2DF2"/>
    <w:rsid w:val="005B4E6D"/>
    <w:rsid w:val="005B5A4D"/>
    <w:rsid w:val="005B5C46"/>
    <w:rsid w:val="005B5F8B"/>
    <w:rsid w:val="005B666B"/>
    <w:rsid w:val="005B71B2"/>
    <w:rsid w:val="005C29AE"/>
    <w:rsid w:val="005C2F1F"/>
    <w:rsid w:val="005C30AB"/>
    <w:rsid w:val="005C3B89"/>
    <w:rsid w:val="005C3DCC"/>
    <w:rsid w:val="005C5FA2"/>
    <w:rsid w:val="005C766E"/>
    <w:rsid w:val="005C7D22"/>
    <w:rsid w:val="005D3473"/>
    <w:rsid w:val="005D42FE"/>
    <w:rsid w:val="005D6894"/>
    <w:rsid w:val="005E3D96"/>
    <w:rsid w:val="005E61F3"/>
    <w:rsid w:val="005E6FBA"/>
    <w:rsid w:val="005F0695"/>
    <w:rsid w:val="005F1E39"/>
    <w:rsid w:val="005F4184"/>
    <w:rsid w:val="005F7705"/>
    <w:rsid w:val="006014F3"/>
    <w:rsid w:val="00601B41"/>
    <w:rsid w:val="006046BD"/>
    <w:rsid w:val="00604E34"/>
    <w:rsid w:val="00611F14"/>
    <w:rsid w:val="00612061"/>
    <w:rsid w:val="00613007"/>
    <w:rsid w:val="00613482"/>
    <w:rsid w:val="00613EE3"/>
    <w:rsid w:val="00614049"/>
    <w:rsid w:val="00623075"/>
    <w:rsid w:val="00624F74"/>
    <w:rsid w:val="00626CAB"/>
    <w:rsid w:val="006329B9"/>
    <w:rsid w:val="00633103"/>
    <w:rsid w:val="006351DE"/>
    <w:rsid w:val="006355F7"/>
    <w:rsid w:val="006371D9"/>
    <w:rsid w:val="00637B81"/>
    <w:rsid w:val="006402B9"/>
    <w:rsid w:val="00640CA3"/>
    <w:rsid w:val="00641A7E"/>
    <w:rsid w:val="006460B6"/>
    <w:rsid w:val="00650818"/>
    <w:rsid w:val="00654D19"/>
    <w:rsid w:val="00655969"/>
    <w:rsid w:val="00657EC4"/>
    <w:rsid w:val="006625B3"/>
    <w:rsid w:val="00662690"/>
    <w:rsid w:val="00662F83"/>
    <w:rsid w:val="00663CC0"/>
    <w:rsid w:val="0067030B"/>
    <w:rsid w:val="0067215E"/>
    <w:rsid w:val="00675ADA"/>
    <w:rsid w:val="00675FA6"/>
    <w:rsid w:val="006761A6"/>
    <w:rsid w:val="00676C50"/>
    <w:rsid w:val="006778C3"/>
    <w:rsid w:val="00682D3D"/>
    <w:rsid w:val="00683284"/>
    <w:rsid w:val="00683CE8"/>
    <w:rsid w:val="006849C0"/>
    <w:rsid w:val="00684DBA"/>
    <w:rsid w:val="00686D68"/>
    <w:rsid w:val="00687770"/>
    <w:rsid w:val="00687863"/>
    <w:rsid w:val="00691A96"/>
    <w:rsid w:val="00694853"/>
    <w:rsid w:val="00697FBC"/>
    <w:rsid w:val="006A3D97"/>
    <w:rsid w:val="006A52FA"/>
    <w:rsid w:val="006B11DB"/>
    <w:rsid w:val="006B3113"/>
    <w:rsid w:val="006B3740"/>
    <w:rsid w:val="006B3AAD"/>
    <w:rsid w:val="006B5A5D"/>
    <w:rsid w:val="006C2CEA"/>
    <w:rsid w:val="006C4F54"/>
    <w:rsid w:val="006C6130"/>
    <w:rsid w:val="006D1228"/>
    <w:rsid w:val="006D3919"/>
    <w:rsid w:val="006D3984"/>
    <w:rsid w:val="006D3E6D"/>
    <w:rsid w:val="006D4106"/>
    <w:rsid w:val="006D4C2E"/>
    <w:rsid w:val="006E4558"/>
    <w:rsid w:val="006E532B"/>
    <w:rsid w:val="006E6715"/>
    <w:rsid w:val="006E6C7F"/>
    <w:rsid w:val="006F1252"/>
    <w:rsid w:val="006F17FA"/>
    <w:rsid w:val="006F23BE"/>
    <w:rsid w:val="006F5093"/>
    <w:rsid w:val="006F7A32"/>
    <w:rsid w:val="006F7AD7"/>
    <w:rsid w:val="007010EC"/>
    <w:rsid w:val="00701EFB"/>
    <w:rsid w:val="0070547B"/>
    <w:rsid w:val="00705D93"/>
    <w:rsid w:val="00706661"/>
    <w:rsid w:val="00710882"/>
    <w:rsid w:val="007114B1"/>
    <w:rsid w:val="007167A5"/>
    <w:rsid w:val="0072063A"/>
    <w:rsid w:val="00723502"/>
    <w:rsid w:val="00723D82"/>
    <w:rsid w:val="00725D88"/>
    <w:rsid w:val="00732601"/>
    <w:rsid w:val="00733BC9"/>
    <w:rsid w:val="0073431F"/>
    <w:rsid w:val="0073477A"/>
    <w:rsid w:val="0073498B"/>
    <w:rsid w:val="00736A38"/>
    <w:rsid w:val="00737680"/>
    <w:rsid w:val="007410EF"/>
    <w:rsid w:val="00745757"/>
    <w:rsid w:val="0074662E"/>
    <w:rsid w:val="00746EAA"/>
    <w:rsid w:val="00747460"/>
    <w:rsid w:val="00747749"/>
    <w:rsid w:val="0074782A"/>
    <w:rsid w:val="0075077C"/>
    <w:rsid w:val="00751683"/>
    <w:rsid w:val="0075276E"/>
    <w:rsid w:val="00753090"/>
    <w:rsid w:val="00755B6F"/>
    <w:rsid w:val="00757833"/>
    <w:rsid w:val="00766495"/>
    <w:rsid w:val="00767573"/>
    <w:rsid w:val="00767DD1"/>
    <w:rsid w:val="00770186"/>
    <w:rsid w:val="00770F9B"/>
    <w:rsid w:val="0077121C"/>
    <w:rsid w:val="0077244B"/>
    <w:rsid w:val="00774D89"/>
    <w:rsid w:val="00776B9F"/>
    <w:rsid w:val="0078032B"/>
    <w:rsid w:val="0078072F"/>
    <w:rsid w:val="00781837"/>
    <w:rsid w:val="0078499F"/>
    <w:rsid w:val="00784CE8"/>
    <w:rsid w:val="00790E4E"/>
    <w:rsid w:val="00791B03"/>
    <w:rsid w:val="007920EE"/>
    <w:rsid w:val="0079437E"/>
    <w:rsid w:val="0079607E"/>
    <w:rsid w:val="007960F0"/>
    <w:rsid w:val="00796AD4"/>
    <w:rsid w:val="007A54D5"/>
    <w:rsid w:val="007A79A7"/>
    <w:rsid w:val="007B0C6F"/>
    <w:rsid w:val="007B42B3"/>
    <w:rsid w:val="007C07B3"/>
    <w:rsid w:val="007C11B7"/>
    <w:rsid w:val="007C188E"/>
    <w:rsid w:val="007C1961"/>
    <w:rsid w:val="007C247B"/>
    <w:rsid w:val="007C2A11"/>
    <w:rsid w:val="007C3AF9"/>
    <w:rsid w:val="007C44E4"/>
    <w:rsid w:val="007C473C"/>
    <w:rsid w:val="007C6473"/>
    <w:rsid w:val="007C75B7"/>
    <w:rsid w:val="007D05F1"/>
    <w:rsid w:val="007D1064"/>
    <w:rsid w:val="007D2C8E"/>
    <w:rsid w:val="007D76B2"/>
    <w:rsid w:val="007E07A3"/>
    <w:rsid w:val="007E1D09"/>
    <w:rsid w:val="007E325F"/>
    <w:rsid w:val="007E53B9"/>
    <w:rsid w:val="007E60F8"/>
    <w:rsid w:val="007F0DEB"/>
    <w:rsid w:val="007F1884"/>
    <w:rsid w:val="00801BB4"/>
    <w:rsid w:val="00802A42"/>
    <w:rsid w:val="00803A7F"/>
    <w:rsid w:val="0081403F"/>
    <w:rsid w:val="0081537E"/>
    <w:rsid w:val="00815D3A"/>
    <w:rsid w:val="008171BB"/>
    <w:rsid w:val="00821D12"/>
    <w:rsid w:val="00823083"/>
    <w:rsid w:val="0082340A"/>
    <w:rsid w:val="00823B90"/>
    <w:rsid w:val="00824A21"/>
    <w:rsid w:val="00824E62"/>
    <w:rsid w:val="008250DE"/>
    <w:rsid w:val="00830960"/>
    <w:rsid w:val="00832B9F"/>
    <w:rsid w:val="00835E78"/>
    <w:rsid w:val="00844168"/>
    <w:rsid w:val="00844773"/>
    <w:rsid w:val="00847E8F"/>
    <w:rsid w:val="00852FCC"/>
    <w:rsid w:val="0085405D"/>
    <w:rsid w:val="0085434E"/>
    <w:rsid w:val="00856CA7"/>
    <w:rsid w:val="00861D49"/>
    <w:rsid w:val="00861ED7"/>
    <w:rsid w:val="00863FA3"/>
    <w:rsid w:val="00872810"/>
    <w:rsid w:val="008746E4"/>
    <w:rsid w:val="00876902"/>
    <w:rsid w:val="00877684"/>
    <w:rsid w:val="00881F52"/>
    <w:rsid w:val="008839C1"/>
    <w:rsid w:val="00883BA1"/>
    <w:rsid w:val="0088537C"/>
    <w:rsid w:val="008938B7"/>
    <w:rsid w:val="008943C1"/>
    <w:rsid w:val="008961EB"/>
    <w:rsid w:val="0089670C"/>
    <w:rsid w:val="008A060E"/>
    <w:rsid w:val="008A08F7"/>
    <w:rsid w:val="008A0AF3"/>
    <w:rsid w:val="008A0B12"/>
    <w:rsid w:val="008A20DE"/>
    <w:rsid w:val="008A55A4"/>
    <w:rsid w:val="008B020F"/>
    <w:rsid w:val="008B48F6"/>
    <w:rsid w:val="008B5D07"/>
    <w:rsid w:val="008B6131"/>
    <w:rsid w:val="008B614C"/>
    <w:rsid w:val="008C02F0"/>
    <w:rsid w:val="008C16CD"/>
    <w:rsid w:val="008C2ED3"/>
    <w:rsid w:val="008C415B"/>
    <w:rsid w:val="008C46FC"/>
    <w:rsid w:val="008C4EB4"/>
    <w:rsid w:val="008C6186"/>
    <w:rsid w:val="008C666B"/>
    <w:rsid w:val="008D4EBC"/>
    <w:rsid w:val="008E2DCF"/>
    <w:rsid w:val="008E38B0"/>
    <w:rsid w:val="008E68A0"/>
    <w:rsid w:val="008F110C"/>
    <w:rsid w:val="008F11F4"/>
    <w:rsid w:val="008F184A"/>
    <w:rsid w:val="008F30ED"/>
    <w:rsid w:val="008F34CB"/>
    <w:rsid w:val="008F41CE"/>
    <w:rsid w:val="00900A6A"/>
    <w:rsid w:val="009038B7"/>
    <w:rsid w:val="0091247C"/>
    <w:rsid w:val="0091571D"/>
    <w:rsid w:val="00916579"/>
    <w:rsid w:val="00916BA2"/>
    <w:rsid w:val="009175F0"/>
    <w:rsid w:val="00920EFE"/>
    <w:rsid w:val="0092141A"/>
    <w:rsid w:val="00923B3D"/>
    <w:rsid w:val="00924761"/>
    <w:rsid w:val="00926602"/>
    <w:rsid w:val="00926EC2"/>
    <w:rsid w:val="0092760E"/>
    <w:rsid w:val="009309D3"/>
    <w:rsid w:val="009429B6"/>
    <w:rsid w:val="00944D95"/>
    <w:rsid w:val="00946963"/>
    <w:rsid w:val="00950D39"/>
    <w:rsid w:val="00952052"/>
    <w:rsid w:val="00954028"/>
    <w:rsid w:val="00954111"/>
    <w:rsid w:val="0095549F"/>
    <w:rsid w:val="009563F4"/>
    <w:rsid w:val="009577CA"/>
    <w:rsid w:val="009577DA"/>
    <w:rsid w:val="00960302"/>
    <w:rsid w:val="00960353"/>
    <w:rsid w:val="00966675"/>
    <w:rsid w:val="00970AFB"/>
    <w:rsid w:val="00972E68"/>
    <w:rsid w:val="009817DE"/>
    <w:rsid w:val="00982F07"/>
    <w:rsid w:val="00983ADF"/>
    <w:rsid w:val="009852E3"/>
    <w:rsid w:val="00992B2A"/>
    <w:rsid w:val="00997474"/>
    <w:rsid w:val="009A0A80"/>
    <w:rsid w:val="009A4D5D"/>
    <w:rsid w:val="009B3A42"/>
    <w:rsid w:val="009B4108"/>
    <w:rsid w:val="009B56EA"/>
    <w:rsid w:val="009C1308"/>
    <w:rsid w:val="009C60BF"/>
    <w:rsid w:val="009C7A42"/>
    <w:rsid w:val="009D2A00"/>
    <w:rsid w:val="009D3F7B"/>
    <w:rsid w:val="009D484B"/>
    <w:rsid w:val="009D4FFD"/>
    <w:rsid w:val="009D6E6C"/>
    <w:rsid w:val="009D7CC9"/>
    <w:rsid w:val="009D7D66"/>
    <w:rsid w:val="009E02E8"/>
    <w:rsid w:val="009E1B1E"/>
    <w:rsid w:val="009E72D8"/>
    <w:rsid w:val="009F048B"/>
    <w:rsid w:val="009F24E4"/>
    <w:rsid w:val="009F2FC7"/>
    <w:rsid w:val="009F351C"/>
    <w:rsid w:val="009F35FE"/>
    <w:rsid w:val="009F3CA8"/>
    <w:rsid w:val="009F779B"/>
    <w:rsid w:val="00A0469A"/>
    <w:rsid w:val="00A05A50"/>
    <w:rsid w:val="00A06E94"/>
    <w:rsid w:val="00A151EE"/>
    <w:rsid w:val="00A160F4"/>
    <w:rsid w:val="00A162B2"/>
    <w:rsid w:val="00A16ACB"/>
    <w:rsid w:val="00A20AEF"/>
    <w:rsid w:val="00A20B28"/>
    <w:rsid w:val="00A2176A"/>
    <w:rsid w:val="00A21F87"/>
    <w:rsid w:val="00A23453"/>
    <w:rsid w:val="00A26066"/>
    <w:rsid w:val="00A31C17"/>
    <w:rsid w:val="00A32DA0"/>
    <w:rsid w:val="00A33F67"/>
    <w:rsid w:val="00A346CB"/>
    <w:rsid w:val="00A35A86"/>
    <w:rsid w:val="00A36C0D"/>
    <w:rsid w:val="00A37852"/>
    <w:rsid w:val="00A46240"/>
    <w:rsid w:val="00A50483"/>
    <w:rsid w:val="00A51324"/>
    <w:rsid w:val="00A56BF4"/>
    <w:rsid w:val="00A5735C"/>
    <w:rsid w:val="00A60E93"/>
    <w:rsid w:val="00A61402"/>
    <w:rsid w:val="00A6758C"/>
    <w:rsid w:val="00A70871"/>
    <w:rsid w:val="00A7270D"/>
    <w:rsid w:val="00A7460E"/>
    <w:rsid w:val="00A76ACD"/>
    <w:rsid w:val="00A76C71"/>
    <w:rsid w:val="00A80717"/>
    <w:rsid w:val="00A8137E"/>
    <w:rsid w:val="00A821C9"/>
    <w:rsid w:val="00A83C86"/>
    <w:rsid w:val="00A84EEF"/>
    <w:rsid w:val="00A86863"/>
    <w:rsid w:val="00A87244"/>
    <w:rsid w:val="00A90500"/>
    <w:rsid w:val="00A92A17"/>
    <w:rsid w:val="00A95ADA"/>
    <w:rsid w:val="00AA1480"/>
    <w:rsid w:val="00AA244D"/>
    <w:rsid w:val="00AA33E8"/>
    <w:rsid w:val="00AA35A0"/>
    <w:rsid w:val="00AA3C03"/>
    <w:rsid w:val="00AA3DAD"/>
    <w:rsid w:val="00AA40FA"/>
    <w:rsid w:val="00AA623A"/>
    <w:rsid w:val="00AA7E58"/>
    <w:rsid w:val="00AB0E46"/>
    <w:rsid w:val="00AB1FB2"/>
    <w:rsid w:val="00AB44FD"/>
    <w:rsid w:val="00AB75F8"/>
    <w:rsid w:val="00AC2E45"/>
    <w:rsid w:val="00AC4758"/>
    <w:rsid w:val="00AC5A16"/>
    <w:rsid w:val="00AC60BB"/>
    <w:rsid w:val="00AC6513"/>
    <w:rsid w:val="00AC6D4A"/>
    <w:rsid w:val="00AD0C0F"/>
    <w:rsid w:val="00AD122E"/>
    <w:rsid w:val="00AD6F1D"/>
    <w:rsid w:val="00AE7DBF"/>
    <w:rsid w:val="00AF00A0"/>
    <w:rsid w:val="00AF2092"/>
    <w:rsid w:val="00AF24A8"/>
    <w:rsid w:val="00AF2A7F"/>
    <w:rsid w:val="00AF4D83"/>
    <w:rsid w:val="00B03FC0"/>
    <w:rsid w:val="00B06104"/>
    <w:rsid w:val="00B125CA"/>
    <w:rsid w:val="00B1319F"/>
    <w:rsid w:val="00B159C7"/>
    <w:rsid w:val="00B17EA5"/>
    <w:rsid w:val="00B21D31"/>
    <w:rsid w:val="00B22A41"/>
    <w:rsid w:val="00B277A9"/>
    <w:rsid w:val="00B27F73"/>
    <w:rsid w:val="00B42AD8"/>
    <w:rsid w:val="00B44B2D"/>
    <w:rsid w:val="00B469AB"/>
    <w:rsid w:val="00B47A53"/>
    <w:rsid w:val="00B47CED"/>
    <w:rsid w:val="00B5122F"/>
    <w:rsid w:val="00B51481"/>
    <w:rsid w:val="00B519C2"/>
    <w:rsid w:val="00B51DA6"/>
    <w:rsid w:val="00B52716"/>
    <w:rsid w:val="00B53AD1"/>
    <w:rsid w:val="00B5533A"/>
    <w:rsid w:val="00B57438"/>
    <w:rsid w:val="00B57BFD"/>
    <w:rsid w:val="00B613A2"/>
    <w:rsid w:val="00B6660D"/>
    <w:rsid w:val="00B66C11"/>
    <w:rsid w:val="00B70CAF"/>
    <w:rsid w:val="00B743BC"/>
    <w:rsid w:val="00B77D91"/>
    <w:rsid w:val="00B77F25"/>
    <w:rsid w:val="00B820E1"/>
    <w:rsid w:val="00B83ACC"/>
    <w:rsid w:val="00B90263"/>
    <w:rsid w:val="00B91B11"/>
    <w:rsid w:val="00B94079"/>
    <w:rsid w:val="00BA0B48"/>
    <w:rsid w:val="00BA216B"/>
    <w:rsid w:val="00BA743C"/>
    <w:rsid w:val="00BA7CB2"/>
    <w:rsid w:val="00BB0F6A"/>
    <w:rsid w:val="00BB30FF"/>
    <w:rsid w:val="00BB353C"/>
    <w:rsid w:val="00BB420E"/>
    <w:rsid w:val="00BB70A9"/>
    <w:rsid w:val="00BC18C2"/>
    <w:rsid w:val="00BC1A5B"/>
    <w:rsid w:val="00BC27D8"/>
    <w:rsid w:val="00BC39EF"/>
    <w:rsid w:val="00BC58C0"/>
    <w:rsid w:val="00BC5B3F"/>
    <w:rsid w:val="00BD394E"/>
    <w:rsid w:val="00BD3F21"/>
    <w:rsid w:val="00BD43C3"/>
    <w:rsid w:val="00BD4B15"/>
    <w:rsid w:val="00BE13D8"/>
    <w:rsid w:val="00BE1FFF"/>
    <w:rsid w:val="00BE45DD"/>
    <w:rsid w:val="00BE53A0"/>
    <w:rsid w:val="00BE64EC"/>
    <w:rsid w:val="00BE6539"/>
    <w:rsid w:val="00BE6ED5"/>
    <w:rsid w:val="00BE756A"/>
    <w:rsid w:val="00BF1BF9"/>
    <w:rsid w:val="00BF1C39"/>
    <w:rsid w:val="00BF3E86"/>
    <w:rsid w:val="00BF484F"/>
    <w:rsid w:val="00BF57C3"/>
    <w:rsid w:val="00BF57C4"/>
    <w:rsid w:val="00BF5BF7"/>
    <w:rsid w:val="00C001A2"/>
    <w:rsid w:val="00C019C1"/>
    <w:rsid w:val="00C0263A"/>
    <w:rsid w:val="00C0336B"/>
    <w:rsid w:val="00C04081"/>
    <w:rsid w:val="00C04D8D"/>
    <w:rsid w:val="00C07B3A"/>
    <w:rsid w:val="00C07C45"/>
    <w:rsid w:val="00C100C8"/>
    <w:rsid w:val="00C124D3"/>
    <w:rsid w:val="00C14E7C"/>
    <w:rsid w:val="00C151AA"/>
    <w:rsid w:val="00C152B7"/>
    <w:rsid w:val="00C20161"/>
    <w:rsid w:val="00C22850"/>
    <w:rsid w:val="00C24FC6"/>
    <w:rsid w:val="00C30720"/>
    <w:rsid w:val="00C32020"/>
    <w:rsid w:val="00C32FA4"/>
    <w:rsid w:val="00C33B06"/>
    <w:rsid w:val="00C33F7E"/>
    <w:rsid w:val="00C365F2"/>
    <w:rsid w:val="00C369FC"/>
    <w:rsid w:val="00C36EEA"/>
    <w:rsid w:val="00C37329"/>
    <w:rsid w:val="00C37B2E"/>
    <w:rsid w:val="00C405E7"/>
    <w:rsid w:val="00C40D7D"/>
    <w:rsid w:val="00C45573"/>
    <w:rsid w:val="00C530EC"/>
    <w:rsid w:val="00C53D48"/>
    <w:rsid w:val="00C57A42"/>
    <w:rsid w:val="00C6020A"/>
    <w:rsid w:val="00C610F2"/>
    <w:rsid w:val="00C615AE"/>
    <w:rsid w:val="00C62466"/>
    <w:rsid w:val="00C62EB4"/>
    <w:rsid w:val="00C7120C"/>
    <w:rsid w:val="00C724F2"/>
    <w:rsid w:val="00C73E63"/>
    <w:rsid w:val="00C752BD"/>
    <w:rsid w:val="00C758E1"/>
    <w:rsid w:val="00C760C5"/>
    <w:rsid w:val="00C821BC"/>
    <w:rsid w:val="00C82E60"/>
    <w:rsid w:val="00C836B5"/>
    <w:rsid w:val="00C876C0"/>
    <w:rsid w:val="00C91E3D"/>
    <w:rsid w:val="00C92652"/>
    <w:rsid w:val="00C947B2"/>
    <w:rsid w:val="00C96858"/>
    <w:rsid w:val="00C97CCD"/>
    <w:rsid w:val="00CA07FD"/>
    <w:rsid w:val="00CA1012"/>
    <w:rsid w:val="00CA43A4"/>
    <w:rsid w:val="00CA4C67"/>
    <w:rsid w:val="00CA579C"/>
    <w:rsid w:val="00CA5802"/>
    <w:rsid w:val="00CB2CAF"/>
    <w:rsid w:val="00CB2D4E"/>
    <w:rsid w:val="00CB4545"/>
    <w:rsid w:val="00CB6276"/>
    <w:rsid w:val="00CC3401"/>
    <w:rsid w:val="00CC5A95"/>
    <w:rsid w:val="00CD05FE"/>
    <w:rsid w:val="00CD0A3F"/>
    <w:rsid w:val="00CD6F14"/>
    <w:rsid w:val="00CE0E39"/>
    <w:rsid w:val="00CE4180"/>
    <w:rsid w:val="00CF195A"/>
    <w:rsid w:val="00CF2934"/>
    <w:rsid w:val="00CF2AB0"/>
    <w:rsid w:val="00CF3206"/>
    <w:rsid w:val="00CF4F51"/>
    <w:rsid w:val="00CF6201"/>
    <w:rsid w:val="00D004B0"/>
    <w:rsid w:val="00D03C0A"/>
    <w:rsid w:val="00D04F34"/>
    <w:rsid w:val="00D05A5D"/>
    <w:rsid w:val="00D10E4B"/>
    <w:rsid w:val="00D169AC"/>
    <w:rsid w:val="00D24CFF"/>
    <w:rsid w:val="00D24F07"/>
    <w:rsid w:val="00D26FF4"/>
    <w:rsid w:val="00D27077"/>
    <w:rsid w:val="00D31F3E"/>
    <w:rsid w:val="00D32270"/>
    <w:rsid w:val="00D3379B"/>
    <w:rsid w:val="00D350E4"/>
    <w:rsid w:val="00D359C2"/>
    <w:rsid w:val="00D36911"/>
    <w:rsid w:val="00D37A26"/>
    <w:rsid w:val="00D41BA4"/>
    <w:rsid w:val="00D47AF0"/>
    <w:rsid w:val="00D5031B"/>
    <w:rsid w:val="00D506C7"/>
    <w:rsid w:val="00D5149F"/>
    <w:rsid w:val="00D5292E"/>
    <w:rsid w:val="00D5316A"/>
    <w:rsid w:val="00D531F1"/>
    <w:rsid w:val="00D54A96"/>
    <w:rsid w:val="00D56AB2"/>
    <w:rsid w:val="00D60716"/>
    <w:rsid w:val="00D624B1"/>
    <w:rsid w:val="00D62BC8"/>
    <w:rsid w:val="00D66D1B"/>
    <w:rsid w:val="00D708CD"/>
    <w:rsid w:val="00D719F2"/>
    <w:rsid w:val="00D720D1"/>
    <w:rsid w:val="00D73704"/>
    <w:rsid w:val="00D766DB"/>
    <w:rsid w:val="00D7693E"/>
    <w:rsid w:val="00D8243C"/>
    <w:rsid w:val="00D82C96"/>
    <w:rsid w:val="00D83DB4"/>
    <w:rsid w:val="00D8747C"/>
    <w:rsid w:val="00D9655A"/>
    <w:rsid w:val="00D96D1B"/>
    <w:rsid w:val="00D976B6"/>
    <w:rsid w:val="00D979CE"/>
    <w:rsid w:val="00DA75CE"/>
    <w:rsid w:val="00DB0430"/>
    <w:rsid w:val="00DB1511"/>
    <w:rsid w:val="00DB3A13"/>
    <w:rsid w:val="00DC1029"/>
    <w:rsid w:val="00DC32C1"/>
    <w:rsid w:val="00DC428C"/>
    <w:rsid w:val="00DC7252"/>
    <w:rsid w:val="00DD1468"/>
    <w:rsid w:val="00DD18A1"/>
    <w:rsid w:val="00DD3D97"/>
    <w:rsid w:val="00DD6309"/>
    <w:rsid w:val="00DD6509"/>
    <w:rsid w:val="00DE453C"/>
    <w:rsid w:val="00DE5358"/>
    <w:rsid w:val="00DE5C70"/>
    <w:rsid w:val="00DE70EA"/>
    <w:rsid w:val="00DE71BA"/>
    <w:rsid w:val="00DF136A"/>
    <w:rsid w:val="00DF3B80"/>
    <w:rsid w:val="00DF656A"/>
    <w:rsid w:val="00E020E7"/>
    <w:rsid w:val="00E03B6F"/>
    <w:rsid w:val="00E054DA"/>
    <w:rsid w:val="00E12549"/>
    <w:rsid w:val="00E133B6"/>
    <w:rsid w:val="00E13A72"/>
    <w:rsid w:val="00E20479"/>
    <w:rsid w:val="00E21553"/>
    <w:rsid w:val="00E21673"/>
    <w:rsid w:val="00E225B8"/>
    <w:rsid w:val="00E2311E"/>
    <w:rsid w:val="00E231EF"/>
    <w:rsid w:val="00E258DF"/>
    <w:rsid w:val="00E259FE"/>
    <w:rsid w:val="00E25CA7"/>
    <w:rsid w:val="00E27FA6"/>
    <w:rsid w:val="00E34499"/>
    <w:rsid w:val="00E36787"/>
    <w:rsid w:val="00E37904"/>
    <w:rsid w:val="00E37926"/>
    <w:rsid w:val="00E40792"/>
    <w:rsid w:val="00E412B2"/>
    <w:rsid w:val="00E418DC"/>
    <w:rsid w:val="00E4297B"/>
    <w:rsid w:val="00E47383"/>
    <w:rsid w:val="00E52536"/>
    <w:rsid w:val="00E534E9"/>
    <w:rsid w:val="00E53A8D"/>
    <w:rsid w:val="00E569AC"/>
    <w:rsid w:val="00E56DDA"/>
    <w:rsid w:val="00E61024"/>
    <w:rsid w:val="00E61EAB"/>
    <w:rsid w:val="00E64853"/>
    <w:rsid w:val="00E64879"/>
    <w:rsid w:val="00E65269"/>
    <w:rsid w:val="00E67BE0"/>
    <w:rsid w:val="00E73649"/>
    <w:rsid w:val="00E77618"/>
    <w:rsid w:val="00E77E55"/>
    <w:rsid w:val="00E77E9B"/>
    <w:rsid w:val="00E844F7"/>
    <w:rsid w:val="00E904D4"/>
    <w:rsid w:val="00E9061F"/>
    <w:rsid w:val="00E90E27"/>
    <w:rsid w:val="00E91301"/>
    <w:rsid w:val="00E91FEC"/>
    <w:rsid w:val="00E93AA1"/>
    <w:rsid w:val="00E945FE"/>
    <w:rsid w:val="00E94720"/>
    <w:rsid w:val="00E96C8C"/>
    <w:rsid w:val="00EA5C5D"/>
    <w:rsid w:val="00EA6A39"/>
    <w:rsid w:val="00EA768C"/>
    <w:rsid w:val="00EB3035"/>
    <w:rsid w:val="00EB3E2A"/>
    <w:rsid w:val="00EB745A"/>
    <w:rsid w:val="00EC0E45"/>
    <w:rsid w:val="00EC1FE7"/>
    <w:rsid w:val="00EC2054"/>
    <w:rsid w:val="00EC2FC3"/>
    <w:rsid w:val="00EC59EB"/>
    <w:rsid w:val="00EC6EF6"/>
    <w:rsid w:val="00EC73D9"/>
    <w:rsid w:val="00ED2561"/>
    <w:rsid w:val="00ED3AED"/>
    <w:rsid w:val="00ED6070"/>
    <w:rsid w:val="00ED6856"/>
    <w:rsid w:val="00ED6CBC"/>
    <w:rsid w:val="00ED7334"/>
    <w:rsid w:val="00ED7882"/>
    <w:rsid w:val="00EE17EA"/>
    <w:rsid w:val="00EE2DDA"/>
    <w:rsid w:val="00EE30BD"/>
    <w:rsid w:val="00EE4B12"/>
    <w:rsid w:val="00EE5493"/>
    <w:rsid w:val="00EE6FAD"/>
    <w:rsid w:val="00EF00BF"/>
    <w:rsid w:val="00EF0B34"/>
    <w:rsid w:val="00EF3370"/>
    <w:rsid w:val="00EF6323"/>
    <w:rsid w:val="00F011B9"/>
    <w:rsid w:val="00F01ED5"/>
    <w:rsid w:val="00F02700"/>
    <w:rsid w:val="00F037B6"/>
    <w:rsid w:val="00F03805"/>
    <w:rsid w:val="00F03ECD"/>
    <w:rsid w:val="00F0669D"/>
    <w:rsid w:val="00F06E8E"/>
    <w:rsid w:val="00F07EFD"/>
    <w:rsid w:val="00F14A65"/>
    <w:rsid w:val="00F15DAA"/>
    <w:rsid w:val="00F20EF5"/>
    <w:rsid w:val="00F20FD7"/>
    <w:rsid w:val="00F21B70"/>
    <w:rsid w:val="00F3134C"/>
    <w:rsid w:val="00F3291A"/>
    <w:rsid w:val="00F3475D"/>
    <w:rsid w:val="00F425A2"/>
    <w:rsid w:val="00F43F6C"/>
    <w:rsid w:val="00F4575D"/>
    <w:rsid w:val="00F469F2"/>
    <w:rsid w:val="00F5039A"/>
    <w:rsid w:val="00F5087B"/>
    <w:rsid w:val="00F53320"/>
    <w:rsid w:val="00F562F5"/>
    <w:rsid w:val="00F57ADD"/>
    <w:rsid w:val="00F601CB"/>
    <w:rsid w:val="00F60A1F"/>
    <w:rsid w:val="00F61C8F"/>
    <w:rsid w:val="00F63DA1"/>
    <w:rsid w:val="00F71DC4"/>
    <w:rsid w:val="00F72AB7"/>
    <w:rsid w:val="00F72B3B"/>
    <w:rsid w:val="00F73538"/>
    <w:rsid w:val="00F7356C"/>
    <w:rsid w:val="00F737A7"/>
    <w:rsid w:val="00F80F39"/>
    <w:rsid w:val="00F81E09"/>
    <w:rsid w:val="00F84F2B"/>
    <w:rsid w:val="00F86583"/>
    <w:rsid w:val="00F86AB1"/>
    <w:rsid w:val="00F8750D"/>
    <w:rsid w:val="00F87692"/>
    <w:rsid w:val="00F919DF"/>
    <w:rsid w:val="00F91E72"/>
    <w:rsid w:val="00F922D4"/>
    <w:rsid w:val="00F93E11"/>
    <w:rsid w:val="00F95FAD"/>
    <w:rsid w:val="00FA0CA8"/>
    <w:rsid w:val="00FA44EF"/>
    <w:rsid w:val="00FA6AEA"/>
    <w:rsid w:val="00FB193B"/>
    <w:rsid w:val="00FB2547"/>
    <w:rsid w:val="00FB44F0"/>
    <w:rsid w:val="00FB4AFD"/>
    <w:rsid w:val="00FB6CBE"/>
    <w:rsid w:val="00FB6DDA"/>
    <w:rsid w:val="00FC3865"/>
    <w:rsid w:val="00FC3AA1"/>
    <w:rsid w:val="00FC4CE5"/>
    <w:rsid w:val="00FC77A6"/>
    <w:rsid w:val="00FD25FE"/>
    <w:rsid w:val="00FD2DF4"/>
    <w:rsid w:val="00FD370A"/>
    <w:rsid w:val="00FD40BC"/>
    <w:rsid w:val="00FD43E0"/>
    <w:rsid w:val="00FD74C6"/>
    <w:rsid w:val="00FE3485"/>
    <w:rsid w:val="00FE37C4"/>
    <w:rsid w:val="00FE5C06"/>
    <w:rsid w:val="00FE5C6E"/>
    <w:rsid w:val="00FE63F7"/>
    <w:rsid w:val="00FE75D4"/>
    <w:rsid w:val="00FF216D"/>
    <w:rsid w:val="00FF2BBC"/>
    <w:rsid w:val="00FF488E"/>
    <w:rsid w:val="00FF5A6F"/>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625B5"/>
  <w15:docId w15:val="{A7EF52C4-2C71-4E74-AC6E-4C936597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4D5"/>
    <w:rPr>
      <w:sz w:val="24"/>
      <w:szCs w:val="24"/>
    </w:rPr>
  </w:style>
  <w:style w:type="paragraph" w:styleId="Heading1">
    <w:name w:val="heading 1"/>
    <w:basedOn w:val="Normal"/>
    <w:next w:val="Normal"/>
    <w:link w:val="Heading1Char"/>
    <w:qFormat/>
    <w:rsid w:val="00527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27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27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27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27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277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27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277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277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7EAD"/>
    <w:pPr>
      <w:spacing w:before="100" w:beforeAutospacing="1" w:after="100" w:afterAutospacing="1"/>
    </w:pPr>
    <w:rPr>
      <w:rFonts w:ascii="Verdana" w:hAnsi="Verdana"/>
      <w:sz w:val="20"/>
      <w:szCs w:val="20"/>
    </w:rPr>
  </w:style>
  <w:style w:type="character" w:styleId="Hyperlink">
    <w:name w:val="Hyperlink"/>
    <w:basedOn w:val="DefaultParagraphFont"/>
    <w:rsid w:val="0043531D"/>
    <w:rPr>
      <w:color w:val="0000FF"/>
      <w:u w:val="single"/>
    </w:rPr>
  </w:style>
  <w:style w:type="paragraph" w:styleId="BalloonText">
    <w:name w:val="Balloon Text"/>
    <w:basedOn w:val="Normal"/>
    <w:semiHidden/>
    <w:rsid w:val="00AD122E"/>
    <w:rPr>
      <w:rFonts w:ascii="Tahoma" w:hAnsi="Tahoma" w:cs="Tahoma"/>
      <w:sz w:val="16"/>
      <w:szCs w:val="16"/>
    </w:rPr>
  </w:style>
  <w:style w:type="paragraph" w:styleId="ListParagraph">
    <w:name w:val="List Paragraph"/>
    <w:basedOn w:val="Normal"/>
    <w:uiPriority w:val="34"/>
    <w:qFormat/>
    <w:rsid w:val="00C62EB4"/>
    <w:pPr>
      <w:ind w:left="720"/>
      <w:contextualSpacing/>
    </w:pPr>
  </w:style>
  <w:style w:type="character" w:styleId="CommentReference">
    <w:name w:val="annotation reference"/>
    <w:basedOn w:val="DefaultParagraphFont"/>
    <w:rsid w:val="0074662E"/>
    <w:rPr>
      <w:sz w:val="16"/>
      <w:szCs w:val="16"/>
    </w:rPr>
  </w:style>
  <w:style w:type="paragraph" w:styleId="CommentText">
    <w:name w:val="annotation text"/>
    <w:basedOn w:val="Normal"/>
    <w:link w:val="CommentTextChar"/>
    <w:rsid w:val="0074662E"/>
    <w:rPr>
      <w:sz w:val="20"/>
      <w:szCs w:val="20"/>
    </w:rPr>
  </w:style>
  <w:style w:type="character" w:customStyle="1" w:styleId="CommentTextChar">
    <w:name w:val="Comment Text Char"/>
    <w:basedOn w:val="DefaultParagraphFont"/>
    <w:link w:val="CommentText"/>
    <w:rsid w:val="0074662E"/>
  </w:style>
  <w:style w:type="paragraph" w:styleId="CommentSubject">
    <w:name w:val="annotation subject"/>
    <w:basedOn w:val="CommentText"/>
    <w:next w:val="CommentText"/>
    <w:link w:val="CommentSubjectChar"/>
    <w:rsid w:val="0074662E"/>
    <w:rPr>
      <w:b/>
      <w:bCs/>
    </w:rPr>
  </w:style>
  <w:style w:type="character" w:customStyle="1" w:styleId="CommentSubjectChar">
    <w:name w:val="Comment Subject Char"/>
    <w:basedOn w:val="CommentTextChar"/>
    <w:link w:val="CommentSubject"/>
    <w:rsid w:val="0074662E"/>
    <w:rPr>
      <w:b/>
      <w:bCs/>
    </w:rPr>
  </w:style>
  <w:style w:type="paragraph" w:styleId="Header">
    <w:name w:val="header"/>
    <w:basedOn w:val="Normal"/>
    <w:link w:val="HeaderChar"/>
    <w:rsid w:val="0039690C"/>
    <w:pPr>
      <w:tabs>
        <w:tab w:val="center" w:pos="4680"/>
        <w:tab w:val="right" w:pos="9360"/>
      </w:tabs>
    </w:pPr>
  </w:style>
  <w:style w:type="character" w:customStyle="1" w:styleId="HeaderChar">
    <w:name w:val="Header Char"/>
    <w:basedOn w:val="DefaultParagraphFont"/>
    <w:link w:val="Header"/>
    <w:rsid w:val="0039690C"/>
    <w:rPr>
      <w:sz w:val="24"/>
      <w:szCs w:val="24"/>
    </w:rPr>
  </w:style>
  <w:style w:type="paragraph" w:styleId="Footer">
    <w:name w:val="footer"/>
    <w:basedOn w:val="Normal"/>
    <w:link w:val="FooterChar"/>
    <w:rsid w:val="0039690C"/>
    <w:pPr>
      <w:tabs>
        <w:tab w:val="center" w:pos="4680"/>
        <w:tab w:val="right" w:pos="9360"/>
      </w:tabs>
    </w:pPr>
  </w:style>
  <w:style w:type="character" w:customStyle="1" w:styleId="FooterChar">
    <w:name w:val="Footer Char"/>
    <w:basedOn w:val="DefaultParagraphFont"/>
    <w:link w:val="Footer"/>
    <w:rsid w:val="0039690C"/>
    <w:rPr>
      <w:sz w:val="24"/>
      <w:szCs w:val="24"/>
    </w:rPr>
  </w:style>
  <w:style w:type="paragraph" w:styleId="Bibliography">
    <w:name w:val="Bibliography"/>
    <w:basedOn w:val="Normal"/>
    <w:next w:val="Normal"/>
    <w:uiPriority w:val="37"/>
    <w:semiHidden/>
    <w:unhideWhenUsed/>
    <w:rsid w:val="00527740"/>
  </w:style>
  <w:style w:type="paragraph" w:styleId="BlockText">
    <w:name w:val="Block Text"/>
    <w:basedOn w:val="Normal"/>
    <w:rsid w:val="0052774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527740"/>
    <w:pPr>
      <w:spacing w:after="120"/>
    </w:pPr>
  </w:style>
  <w:style w:type="character" w:customStyle="1" w:styleId="BodyTextChar">
    <w:name w:val="Body Text Char"/>
    <w:basedOn w:val="DefaultParagraphFont"/>
    <w:link w:val="BodyText"/>
    <w:rsid w:val="00527740"/>
    <w:rPr>
      <w:sz w:val="24"/>
      <w:szCs w:val="24"/>
    </w:rPr>
  </w:style>
  <w:style w:type="paragraph" w:styleId="BodyText2">
    <w:name w:val="Body Text 2"/>
    <w:basedOn w:val="Normal"/>
    <w:link w:val="BodyText2Char"/>
    <w:rsid w:val="00527740"/>
    <w:pPr>
      <w:spacing w:after="120" w:line="480" w:lineRule="auto"/>
    </w:pPr>
  </w:style>
  <w:style w:type="character" w:customStyle="1" w:styleId="BodyText2Char">
    <w:name w:val="Body Text 2 Char"/>
    <w:basedOn w:val="DefaultParagraphFont"/>
    <w:link w:val="BodyText2"/>
    <w:rsid w:val="00527740"/>
    <w:rPr>
      <w:sz w:val="24"/>
      <w:szCs w:val="24"/>
    </w:rPr>
  </w:style>
  <w:style w:type="paragraph" w:styleId="BodyText3">
    <w:name w:val="Body Text 3"/>
    <w:basedOn w:val="Normal"/>
    <w:link w:val="BodyText3Char"/>
    <w:rsid w:val="00527740"/>
    <w:pPr>
      <w:spacing w:after="120"/>
    </w:pPr>
    <w:rPr>
      <w:sz w:val="16"/>
      <w:szCs w:val="16"/>
    </w:rPr>
  </w:style>
  <w:style w:type="character" w:customStyle="1" w:styleId="BodyText3Char">
    <w:name w:val="Body Text 3 Char"/>
    <w:basedOn w:val="DefaultParagraphFont"/>
    <w:link w:val="BodyText3"/>
    <w:rsid w:val="00527740"/>
    <w:rPr>
      <w:sz w:val="16"/>
      <w:szCs w:val="16"/>
    </w:rPr>
  </w:style>
  <w:style w:type="paragraph" w:styleId="BodyTextFirstIndent">
    <w:name w:val="Body Text First Indent"/>
    <w:basedOn w:val="BodyText"/>
    <w:link w:val="BodyTextFirstIndentChar"/>
    <w:rsid w:val="00527740"/>
    <w:pPr>
      <w:spacing w:after="0"/>
      <w:ind w:firstLine="360"/>
    </w:pPr>
  </w:style>
  <w:style w:type="character" w:customStyle="1" w:styleId="BodyTextFirstIndentChar">
    <w:name w:val="Body Text First Indent Char"/>
    <w:basedOn w:val="BodyTextChar"/>
    <w:link w:val="BodyTextFirstIndent"/>
    <w:rsid w:val="00527740"/>
    <w:rPr>
      <w:sz w:val="24"/>
      <w:szCs w:val="24"/>
    </w:rPr>
  </w:style>
  <w:style w:type="paragraph" w:styleId="BodyTextIndent">
    <w:name w:val="Body Text Indent"/>
    <w:basedOn w:val="Normal"/>
    <w:link w:val="BodyTextIndentChar"/>
    <w:rsid w:val="00527740"/>
    <w:pPr>
      <w:spacing w:after="120"/>
      <w:ind w:left="360"/>
    </w:pPr>
  </w:style>
  <w:style w:type="character" w:customStyle="1" w:styleId="BodyTextIndentChar">
    <w:name w:val="Body Text Indent Char"/>
    <w:basedOn w:val="DefaultParagraphFont"/>
    <w:link w:val="BodyTextIndent"/>
    <w:rsid w:val="00527740"/>
    <w:rPr>
      <w:sz w:val="24"/>
      <w:szCs w:val="24"/>
    </w:rPr>
  </w:style>
  <w:style w:type="paragraph" w:styleId="BodyTextFirstIndent2">
    <w:name w:val="Body Text First Indent 2"/>
    <w:basedOn w:val="BodyTextIndent"/>
    <w:link w:val="BodyTextFirstIndent2Char"/>
    <w:rsid w:val="00527740"/>
    <w:pPr>
      <w:spacing w:after="0"/>
      <w:ind w:firstLine="360"/>
    </w:pPr>
  </w:style>
  <w:style w:type="character" w:customStyle="1" w:styleId="BodyTextFirstIndent2Char">
    <w:name w:val="Body Text First Indent 2 Char"/>
    <w:basedOn w:val="BodyTextIndentChar"/>
    <w:link w:val="BodyTextFirstIndent2"/>
    <w:rsid w:val="00527740"/>
    <w:rPr>
      <w:sz w:val="24"/>
      <w:szCs w:val="24"/>
    </w:rPr>
  </w:style>
  <w:style w:type="paragraph" w:styleId="BodyTextIndent2">
    <w:name w:val="Body Text Indent 2"/>
    <w:basedOn w:val="Normal"/>
    <w:link w:val="BodyTextIndent2Char"/>
    <w:rsid w:val="00527740"/>
    <w:pPr>
      <w:spacing w:after="120" w:line="480" w:lineRule="auto"/>
      <w:ind w:left="360"/>
    </w:pPr>
  </w:style>
  <w:style w:type="character" w:customStyle="1" w:styleId="BodyTextIndent2Char">
    <w:name w:val="Body Text Indent 2 Char"/>
    <w:basedOn w:val="DefaultParagraphFont"/>
    <w:link w:val="BodyTextIndent2"/>
    <w:rsid w:val="00527740"/>
    <w:rPr>
      <w:sz w:val="24"/>
      <w:szCs w:val="24"/>
    </w:rPr>
  </w:style>
  <w:style w:type="paragraph" w:styleId="BodyTextIndent3">
    <w:name w:val="Body Text Indent 3"/>
    <w:basedOn w:val="Normal"/>
    <w:link w:val="BodyTextIndent3Char"/>
    <w:rsid w:val="00527740"/>
    <w:pPr>
      <w:spacing w:after="120"/>
      <w:ind w:left="360"/>
    </w:pPr>
    <w:rPr>
      <w:sz w:val="16"/>
      <w:szCs w:val="16"/>
    </w:rPr>
  </w:style>
  <w:style w:type="character" w:customStyle="1" w:styleId="BodyTextIndent3Char">
    <w:name w:val="Body Text Indent 3 Char"/>
    <w:basedOn w:val="DefaultParagraphFont"/>
    <w:link w:val="BodyTextIndent3"/>
    <w:rsid w:val="00527740"/>
    <w:rPr>
      <w:sz w:val="16"/>
      <w:szCs w:val="16"/>
    </w:rPr>
  </w:style>
  <w:style w:type="paragraph" w:styleId="Caption">
    <w:name w:val="caption"/>
    <w:basedOn w:val="Normal"/>
    <w:next w:val="Normal"/>
    <w:semiHidden/>
    <w:unhideWhenUsed/>
    <w:qFormat/>
    <w:rsid w:val="00527740"/>
    <w:pPr>
      <w:spacing w:after="200"/>
    </w:pPr>
    <w:rPr>
      <w:b/>
      <w:bCs/>
      <w:color w:val="4F81BD" w:themeColor="accent1"/>
      <w:sz w:val="18"/>
      <w:szCs w:val="18"/>
    </w:rPr>
  </w:style>
  <w:style w:type="paragraph" w:styleId="Closing">
    <w:name w:val="Closing"/>
    <w:basedOn w:val="Normal"/>
    <w:link w:val="ClosingChar"/>
    <w:rsid w:val="00527740"/>
    <w:pPr>
      <w:ind w:left="4320"/>
    </w:pPr>
  </w:style>
  <w:style w:type="character" w:customStyle="1" w:styleId="ClosingChar">
    <w:name w:val="Closing Char"/>
    <w:basedOn w:val="DefaultParagraphFont"/>
    <w:link w:val="Closing"/>
    <w:rsid w:val="00527740"/>
    <w:rPr>
      <w:sz w:val="24"/>
      <w:szCs w:val="24"/>
    </w:rPr>
  </w:style>
  <w:style w:type="paragraph" w:styleId="Date">
    <w:name w:val="Date"/>
    <w:basedOn w:val="Normal"/>
    <w:next w:val="Normal"/>
    <w:link w:val="DateChar"/>
    <w:rsid w:val="00527740"/>
  </w:style>
  <w:style w:type="character" w:customStyle="1" w:styleId="DateChar">
    <w:name w:val="Date Char"/>
    <w:basedOn w:val="DefaultParagraphFont"/>
    <w:link w:val="Date"/>
    <w:rsid w:val="00527740"/>
    <w:rPr>
      <w:sz w:val="24"/>
      <w:szCs w:val="24"/>
    </w:rPr>
  </w:style>
  <w:style w:type="paragraph" w:styleId="DocumentMap">
    <w:name w:val="Document Map"/>
    <w:basedOn w:val="Normal"/>
    <w:link w:val="DocumentMapChar"/>
    <w:rsid w:val="00527740"/>
    <w:rPr>
      <w:rFonts w:ascii="Tahoma" w:hAnsi="Tahoma" w:cs="Tahoma"/>
      <w:sz w:val="16"/>
      <w:szCs w:val="16"/>
    </w:rPr>
  </w:style>
  <w:style w:type="character" w:customStyle="1" w:styleId="DocumentMapChar">
    <w:name w:val="Document Map Char"/>
    <w:basedOn w:val="DefaultParagraphFont"/>
    <w:link w:val="DocumentMap"/>
    <w:rsid w:val="00527740"/>
    <w:rPr>
      <w:rFonts w:ascii="Tahoma" w:hAnsi="Tahoma" w:cs="Tahoma"/>
      <w:sz w:val="16"/>
      <w:szCs w:val="16"/>
    </w:rPr>
  </w:style>
  <w:style w:type="paragraph" w:styleId="E-mailSignature">
    <w:name w:val="E-mail Signature"/>
    <w:basedOn w:val="Normal"/>
    <w:link w:val="E-mailSignatureChar"/>
    <w:rsid w:val="00527740"/>
  </w:style>
  <w:style w:type="character" w:customStyle="1" w:styleId="E-mailSignatureChar">
    <w:name w:val="E-mail Signature Char"/>
    <w:basedOn w:val="DefaultParagraphFont"/>
    <w:link w:val="E-mailSignature"/>
    <w:rsid w:val="00527740"/>
    <w:rPr>
      <w:sz w:val="24"/>
      <w:szCs w:val="24"/>
    </w:rPr>
  </w:style>
  <w:style w:type="paragraph" w:styleId="EndnoteText">
    <w:name w:val="endnote text"/>
    <w:basedOn w:val="Normal"/>
    <w:link w:val="EndnoteTextChar"/>
    <w:rsid w:val="00527740"/>
    <w:rPr>
      <w:sz w:val="20"/>
      <w:szCs w:val="20"/>
    </w:rPr>
  </w:style>
  <w:style w:type="character" w:customStyle="1" w:styleId="EndnoteTextChar">
    <w:name w:val="Endnote Text Char"/>
    <w:basedOn w:val="DefaultParagraphFont"/>
    <w:link w:val="EndnoteText"/>
    <w:rsid w:val="00527740"/>
  </w:style>
  <w:style w:type="paragraph" w:styleId="EnvelopeAddress">
    <w:name w:val="envelope address"/>
    <w:basedOn w:val="Normal"/>
    <w:rsid w:val="0052774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527740"/>
    <w:rPr>
      <w:rFonts w:asciiTheme="majorHAnsi" w:eastAsiaTheme="majorEastAsia" w:hAnsiTheme="majorHAnsi" w:cstheme="majorBidi"/>
      <w:sz w:val="20"/>
      <w:szCs w:val="20"/>
    </w:rPr>
  </w:style>
  <w:style w:type="paragraph" w:styleId="FootnoteText">
    <w:name w:val="footnote text"/>
    <w:basedOn w:val="Normal"/>
    <w:link w:val="FootnoteTextChar"/>
    <w:rsid w:val="00527740"/>
    <w:rPr>
      <w:sz w:val="20"/>
      <w:szCs w:val="20"/>
    </w:rPr>
  </w:style>
  <w:style w:type="character" w:customStyle="1" w:styleId="FootnoteTextChar">
    <w:name w:val="Footnote Text Char"/>
    <w:basedOn w:val="DefaultParagraphFont"/>
    <w:link w:val="FootnoteText"/>
    <w:rsid w:val="00527740"/>
  </w:style>
  <w:style w:type="character" w:customStyle="1" w:styleId="Heading1Char">
    <w:name w:val="Heading 1 Char"/>
    <w:basedOn w:val="DefaultParagraphFont"/>
    <w:link w:val="Heading1"/>
    <w:rsid w:val="005277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5277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2774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52774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52774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52774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2774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2774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2774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527740"/>
    <w:rPr>
      <w:i/>
      <w:iCs/>
    </w:rPr>
  </w:style>
  <w:style w:type="character" w:customStyle="1" w:styleId="HTMLAddressChar">
    <w:name w:val="HTML Address Char"/>
    <w:basedOn w:val="DefaultParagraphFont"/>
    <w:link w:val="HTMLAddress"/>
    <w:rsid w:val="00527740"/>
    <w:rPr>
      <w:i/>
      <w:iCs/>
      <w:sz w:val="24"/>
      <w:szCs w:val="24"/>
    </w:rPr>
  </w:style>
  <w:style w:type="paragraph" w:styleId="HTMLPreformatted">
    <w:name w:val="HTML Preformatted"/>
    <w:basedOn w:val="Normal"/>
    <w:link w:val="HTMLPreformattedChar"/>
    <w:rsid w:val="00527740"/>
    <w:rPr>
      <w:rFonts w:ascii="Consolas" w:hAnsi="Consolas"/>
      <w:sz w:val="20"/>
      <w:szCs w:val="20"/>
    </w:rPr>
  </w:style>
  <w:style w:type="character" w:customStyle="1" w:styleId="HTMLPreformattedChar">
    <w:name w:val="HTML Preformatted Char"/>
    <w:basedOn w:val="DefaultParagraphFont"/>
    <w:link w:val="HTMLPreformatted"/>
    <w:rsid w:val="00527740"/>
    <w:rPr>
      <w:rFonts w:ascii="Consolas" w:hAnsi="Consolas"/>
    </w:rPr>
  </w:style>
  <w:style w:type="paragraph" w:styleId="Index1">
    <w:name w:val="index 1"/>
    <w:basedOn w:val="Normal"/>
    <w:next w:val="Normal"/>
    <w:autoRedefine/>
    <w:rsid w:val="00527740"/>
    <w:pPr>
      <w:ind w:left="240" w:hanging="240"/>
    </w:pPr>
  </w:style>
  <w:style w:type="paragraph" w:styleId="Index2">
    <w:name w:val="index 2"/>
    <w:basedOn w:val="Normal"/>
    <w:next w:val="Normal"/>
    <w:autoRedefine/>
    <w:rsid w:val="00527740"/>
    <w:pPr>
      <w:ind w:left="480" w:hanging="240"/>
    </w:pPr>
  </w:style>
  <w:style w:type="paragraph" w:styleId="Index3">
    <w:name w:val="index 3"/>
    <w:basedOn w:val="Normal"/>
    <w:next w:val="Normal"/>
    <w:autoRedefine/>
    <w:rsid w:val="00527740"/>
    <w:pPr>
      <w:ind w:left="720" w:hanging="240"/>
    </w:pPr>
  </w:style>
  <w:style w:type="paragraph" w:styleId="Index4">
    <w:name w:val="index 4"/>
    <w:basedOn w:val="Normal"/>
    <w:next w:val="Normal"/>
    <w:autoRedefine/>
    <w:rsid w:val="00527740"/>
    <w:pPr>
      <w:ind w:left="960" w:hanging="240"/>
    </w:pPr>
  </w:style>
  <w:style w:type="paragraph" w:styleId="Index5">
    <w:name w:val="index 5"/>
    <w:basedOn w:val="Normal"/>
    <w:next w:val="Normal"/>
    <w:autoRedefine/>
    <w:rsid w:val="00527740"/>
    <w:pPr>
      <w:ind w:left="1200" w:hanging="240"/>
    </w:pPr>
  </w:style>
  <w:style w:type="paragraph" w:styleId="Index6">
    <w:name w:val="index 6"/>
    <w:basedOn w:val="Normal"/>
    <w:next w:val="Normal"/>
    <w:autoRedefine/>
    <w:rsid w:val="00527740"/>
    <w:pPr>
      <w:ind w:left="1440" w:hanging="240"/>
    </w:pPr>
  </w:style>
  <w:style w:type="paragraph" w:styleId="Index7">
    <w:name w:val="index 7"/>
    <w:basedOn w:val="Normal"/>
    <w:next w:val="Normal"/>
    <w:autoRedefine/>
    <w:rsid w:val="00527740"/>
    <w:pPr>
      <w:ind w:left="1680" w:hanging="240"/>
    </w:pPr>
  </w:style>
  <w:style w:type="paragraph" w:styleId="Index8">
    <w:name w:val="index 8"/>
    <w:basedOn w:val="Normal"/>
    <w:next w:val="Normal"/>
    <w:autoRedefine/>
    <w:rsid w:val="00527740"/>
    <w:pPr>
      <w:ind w:left="1920" w:hanging="240"/>
    </w:pPr>
  </w:style>
  <w:style w:type="paragraph" w:styleId="Index9">
    <w:name w:val="index 9"/>
    <w:basedOn w:val="Normal"/>
    <w:next w:val="Normal"/>
    <w:autoRedefine/>
    <w:rsid w:val="00527740"/>
    <w:pPr>
      <w:ind w:left="2160" w:hanging="240"/>
    </w:pPr>
  </w:style>
  <w:style w:type="paragraph" w:styleId="IndexHeading">
    <w:name w:val="index heading"/>
    <w:basedOn w:val="Normal"/>
    <w:next w:val="Index1"/>
    <w:rsid w:val="0052774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774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7740"/>
    <w:rPr>
      <w:b/>
      <w:bCs/>
      <w:i/>
      <w:iCs/>
      <w:color w:val="4F81BD" w:themeColor="accent1"/>
      <w:sz w:val="24"/>
      <w:szCs w:val="24"/>
    </w:rPr>
  </w:style>
  <w:style w:type="paragraph" w:styleId="List">
    <w:name w:val="List"/>
    <w:basedOn w:val="Normal"/>
    <w:rsid w:val="00527740"/>
    <w:pPr>
      <w:ind w:left="360" w:hanging="360"/>
      <w:contextualSpacing/>
    </w:pPr>
  </w:style>
  <w:style w:type="paragraph" w:styleId="List2">
    <w:name w:val="List 2"/>
    <w:basedOn w:val="Normal"/>
    <w:rsid w:val="00527740"/>
    <w:pPr>
      <w:ind w:left="720" w:hanging="360"/>
      <w:contextualSpacing/>
    </w:pPr>
  </w:style>
  <w:style w:type="paragraph" w:styleId="List3">
    <w:name w:val="List 3"/>
    <w:basedOn w:val="Normal"/>
    <w:rsid w:val="00527740"/>
    <w:pPr>
      <w:ind w:left="1080" w:hanging="360"/>
      <w:contextualSpacing/>
    </w:pPr>
  </w:style>
  <w:style w:type="paragraph" w:styleId="List4">
    <w:name w:val="List 4"/>
    <w:basedOn w:val="Normal"/>
    <w:rsid w:val="00527740"/>
    <w:pPr>
      <w:ind w:left="1440" w:hanging="360"/>
      <w:contextualSpacing/>
    </w:pPr>
  </w:style>
  <w:style w:type="paragraph" w:styleId="List5">
    <w:name w:val="List 5"/>
    <w:basedOn w:val="Normal"/>
    <w:rsid w:val="00527740"/>
    <w:pPr>
      <w:ind w:left="1800" w:hanging="360"/>
      <w:contextualSpacing/>
    </w:pPr>
  </w:style>
  <w:style w:type="paragraph" w:styleId="ListBullet">
    <w:name w:val="List Bullet"/>
    <w:basedOn w:val="Normal"/>
    <w:rsid w:val="00527740"/>
    <w:pPr>
      <w:numPr>
        <w:numId w:val="10"/>
      </w:numPr>
      <w:contextualSpacing/>
    </w:pPr>
  </w:style>
  <w:style w:type="paragraph" w:styleId="ListBullet2">
    <w:name w:val="List Bullet 2"/>
    <w:basedOn w:val="Normal"/>
    <w:rsid w:val="00527740"/>
    <w:pPr>
      <w:numPr>
        <w:numId w:val="11"/>
      </w:numPr>
      <w:contextualSpacing/>
    </w:pPr>
  </w:style>
  <w:style w:type="paragraph" w:styleId="ListBullet3">
    <w:name w:val="List Bullet 3"/>
    <w:basedOn w:val="Normal"/>
    <w:rsid w:val="00527740"/>
    <w:pPr>
      <w:numPr>
        <w:numId w:val="12"/>
      </w:numPr>
      <w:contextualSpacing/>
    </w:pPr>
  </w:style>
  <w:style w:type="paragraph" w:styleId="ListBullet4">
    <w:name w:val="List Bullet 4"/>
    <w:basedOn w:val="Normal"/>
    <w:rsid w:val="00527740"/>
    <w:pPr>
      <w:numPr>
        <w:numId w:val="13"/>
      </w:numPr>
      <w:contextualSpacing/>
    </w:pPr>
  </w:style>
  <w:style w:type="paragraph" w:styleId="ListBullet5">
    <w:name w:val="List Bullet 5"/>
    <w:basedOn w:val="Normal"/>
    <w:rsid w:val="00527740"/>
    <w:pPr>
      <w:numPr>
        <w:numId w:val="14"/>
      </w:numPr>
      <w:contextualSpacing/>
    </w:pPr>
  </w:style>
  <w:style w:type="paragraph" w:styleId="ListContinue">
    <w:name w:val="List Continue"/>
    <w:basedOn w:val="Normal"/>
    <w:rsid w:val="00527740"/>
    <w:pPr>
      <w:spacing w:after="120"/>
      <w:ind w:left="360"/>
      <w:contextualSpacing/>
    </w:pPr>
  </w:style>
  <w:style w:type="paragraph" w:styleId="ListContinue2">
    <w:name w:val="List Continue 2"/>
    <w:basedOn w:val="Normal"/>
    <w:rsid w:val="00527740"/>
    <w:pPr>
      <w:spacing w:after="120"/>
      <w:ind w:left="720"/>
      <w:contextualSpacing/>
    </w:pPr>
  </w:style>
  <w:style w:type="paragraph" w:styleId="ListContinue3">
    <w:name w:val="List Continue 3"/>
    <w:basedOn w:val="Normal"/>
    <w:rsid w:val="00527740"/>
    <w:pPr>
      <w:spacing w:after="120"/>
      <w:ind w:left="1080"/>
      <w:contextualSpacing/>
    </w:pPr>
  </w:style>
  <w:style w:type="paragraph" w:styleId="ListContinue4">
    <w:name w:val="List Continue 4"/>
    <w:basedOn w:val="Normal"/>
    <w:rsid w:val="00527740"/>
    <w:pPr>
      <w:spacing w:after="120"/>
      <w:ind w:left="1440"/>
      <w:contextualSpacing/>
    </w:pPr>
  </w:style>
  <w:style w:type="paragraph" w:styleId="ListContinue5">
    <w:name w:val="List Continue 5"/>
    <w:basedOn w:val="Normal"/>
    <w:rsid w:val="00527740"/>
    <w:pPr>
      <w:spacing w:after="120"/>
      <w:ind w:left="1800"/>
      <w:contextualSpacing/>
    </w:pPr>
  </w:style>
  <w:style w:type="paragraph" w:styleId="ListNumber">
    <w:name w:val="List Number"/>
    <w:basedOn w:val="Normal"/>
    <w:rsid w:val="00527740"/>
    <w:pPr>
      <w:numPr>
        <w:numId w:val="15"/>
      </w:numPr>
      <w:contextualSpacing/>
    </w:pPr>
  </w:style>
  <w:style w:type="paragraph" w:styleId="ListNumber2">
    <w:name w:val="List Number 2"/>
    <w:basedOn w:val="Normal"/>
    <w:rsid w:val="00527740"/>
    <w:pPr>
      <w:numPr>
        <w:numId w:val="16"/>
      </w:numPr>
      <w:contextualSpacing/>
    </w:pPr>
  </w:style>
  <w:style w:type="paragraph" w:styleId="ListNumber3">
    <w:name w:val="List Number 3"/>
    <w:basedOn w:val="Normal"/>
    <w:rsid w:val="00527740"/>
    <w:pPr>
      <w:numPr>
        <w:numId w:val="17"/>
      </w:numPr>
      <w:contextualSpacing/>
    </w:pPr>
  </w:style>
  <w:style w:type="paragraph" w:styleId="ListNumber4">
    <w:name w:val="List Number 4"/>
    <w:basedOn w:val="Normal"/>
    <w:rsid w:val="00527740"/>
    <w:pPr>
      <w:numPr>
        <w:numId w:val="18"/>
      </w:numPr>
      <w:contextualSpacing/>
    </w:pPr>
  </w:style>
  <w:style w:type="paragraph" w:styleId="ListNumber5">
    <w:name w:val="List Number 5"/>
    <w:basedOn w:val="Normal"/>
    <w:rsid w:val="00527740"/>
    <w:pPr>
      <w:numPr>
        <w:numId w:val="19"/>
      </w:numPr>
      <w:contextualSpacing/>
    </w:pPr>
  </w:style>
  <w:style w:type="paragraph" w:styleId="MacroText">
    <w:name w:val="macro"/>
    <w:link w:val="MacroTextChar"/>
    <w:rsid w:val="0052774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527740"/>
    <w:rPr>
      <w:rFonts w:ascii="Consolas" w:hAnsi="Consolas"/>
    </w:rPr>
  </w:style>
  <w:style w:type="paragraph" w:styleId="MessageHeader">
    <w:name w:val="Message Header"/>
    <w:basedOn w:val="Normal"/>
    <w:link w:val="MessageHeaderChar"/>
    <w:rsid w:val="0052774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527740"/>
    <w:rPr>
      <w:rFonts w:asciiTheme="majorHAnsi" w:eastAsiaTheme="majorEastAsia" w:hAnsiTheme="majorHAnsi" w:cstheme="majorBidi"/>
      <w:sz w:val="24"/>
      <w:szCs w:val="24"/>
      <w:shd w:val="pct20" w:color="auto" w:fill="auto"/>
    </w:rPr>
  </w:style>
  <w:style w:type="paragraph" w:styleId="NoSpacing">
    <w:name w:val="No Spacing"/>
    <w:uiPriority w:val="1"/>
    <w:qFormat/>
    <w:rsid w:val="00527740"/>
    <w:rPr>
      <w:sz w:val="24"/>
      <w:szCs w:val="24"/>
    </w:rPr>
  </w:style>
  <w:style w:type="paragraph" w:styleId="NormalIndent">
    <w:name w:val="Normal Indent"/>
    <w:basedOn w:val="Normal"/>
    <w:rsid w:val="00527740"/>
    <w:pPr>
      <w:ind w:left="720"/>
    </w:pPr>
  </w:style>
  <w:style w:type="paragraph" w:styleId="NoteHeading">
    <w:name w:val="Note Heading"/>
    <w:basedOn w:val="Normal"/>
    <w:next w:val="Normal"/>
    <w:link w:val="NoteHeadingChar"/>
    <w:rsid w:val="00527740"/>
  </w:style>
  <w:style w:type="character" w:customStyle="1" w:styleId="NoteHeadingChar">
    <w:name w:val="Note Heading Char"/>
    <w:basedOn w:val="DefaultParagraphFont"/>
    <w:link w:val="NoteHeading"/>
    <w:rsid w:val="00527740"/>
    <w:rPr>
      <w:sz w:val="24"/>
      <w:szCs w:val="24"/>
    </w:rPr>
  </w:style>
  <w:style w:type="paragraph" w:styleId="PlainText">
    <w:name w:val="Plain Text"/>
    <w:basedOn w:val="Normal"/>
    <w:link w:val="PlainTextChar"/>
    <w:rsid w:val="00527740"/>
    <w:rPr>
      <w:rFonts w:ascii="Consolas" w:hAnsi="Consolas"/>
      <w:sz w:val="21"/>
      <w:szCs w:val="21"/>
    </w:rPr>
  </w:style>
  <w:style w:type="character" w:customStyle="1" w:styleId="PlainTextChar">
    <w:name w:val="Plain Text Char"/>
    <w:basedOn w:val="DefaultParagraphFont"/>
    <w:link w:val="PlainText"/>
    <w:rsid w:val="00527740"/>
    <w:rPr>
      <w:rFonts w:ascii="Consolas" w:hAnsi="Consolas"/>
      <w:sz w:val="21"/>
      <w:szCs w:val="21"/>
    </w:rPr>
  </w:style>
  <w:style w:type="paragraph" w:styleId="Quote">
    <w:name w:val="Quote"/>
    <w:basedOn w:val="Normal"/>
    <w:next w:val="Normal"/>
    <w:link w:val="QuoteChar"/>
    <w:uiPriority w:val="29"/>
    <w:qFormat/>
    <w:rsid w:val="00527740"/>
    <w:rPr>
      <w:i/>
      <w:iCs/>
      <w:color w:val="000000" w:themeColor="text1"/>
    </w:rPr>
  </w:style>
  <w:style w:type="character" w:customStyle="1" w:styleId="QuoteChar">
    <w:name w:val="Quote Char"/>
    <w:basedOn w:val="DefaultParagraphFont"/>
    <w:link w:val="Quote"/>
    <w:uiPriority w:val="29"/>
    <w:rsid w:val="00527740"/>
    <w:rPr>
      <w:i/>
      <w:iCs/>
      <w:color w:val="000000" w:themeColor="text1"/>
      <w:sz w:val="24"/>
      <w:szCs w:val="24"/>
    </w:rPr>
  </w:style>
  <w:style w:type="paragraph" w:styleId="Salutation">
    <w:name w:val="Salutation"/>
    <w:basedOn w:val="Normal"/>
    <w:next w:val="Normal"/>
    <w:link w:val="SalutationChar"/>
    <w:rsid w:val="00527740"/>
  </w:style>
  <w:style w:type="character" w:customStyle="1" w:styleId="SalutationChar">
    <w:name w:val="Salutation Char"/>
    <w:basedOn w:val="DefaultParagraphFont"/>
    <w:link w:val="Salutation"/>
    <w:rsid w:val="00527740"/>
    <w:rPr>
      <w:sz w:val="24"/>
      <w:szCs w:val="24"/>
    </w:rPr>
  </w:style>
  <w:style w:type="paragraph" w:styleId="Signature">
    <w:name w:val="Signature"/>
    <w:basedOn w:val="Normal"/>
    <w:link w:val="SignatureChar"/>
    <w:rsid w:val="00527740"/>
    <w:pPr>
      <w:ind w:left="4320"/>
    </w:pPr>
  </w:style>
  <w:style w:type="character" w:customStyle="1" w:styleId="SignatureChar">
    <w:name w:val="Signature Char"/>
    <w:basedOn w:val="DefaultParagraphFont"/>
    <w:link w:val="Signature"/>
    <w:rsid w:val="00527740"/>
    <w:rPr>
      <w:sz w:val="24"/>
      <w:szCs w:val="24"/>
    </w:rPr>
  </w:style>
  <w:style w:type="paragraph" w:styleId="Subtitle">
    <w:name w:val="Subtitle"/>
    <w:basedOn w:val="Normal"/>
    <w:next w:val="Normal"/>
    <w:link w:val="SubtitleChar"/>
    <w:qFormat/>
    <w:rsid w:val="0052774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2774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527740"/>
    <w:pPr>
      <w:ind w:left="240" w:hanging="240"/>
    </w:pPr>
  </w:style>
  <w:style w:type="paragraph" w:styleId="TableofFigures">
    <w:name w:val="table of figures"/>
    <w:basedOn w:val="Normal"/>
    <w:next w:val="Normal"/>
    <w:rsid w:val="00527740"/>
  </w:style>
  <w:style w:type="paragraph" w:styleId="Title">
    <w:name w:val="Title"/>
    <w:basedOn w:val="Normal"/>
    <w:next w:val="Normal"/>
    <w:link w:val="TitleChar"/>
    <w:qFormat/>
    <w:rsid w:val="00527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2774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527740"/>
    <w:pPr>
      <w:spacing w:before="120"/>
    </w:pPr>
    <w:rPr>
      <w:rFonts w:asciiTheme="majorHAnsi" w:eastAsiaTheme="majorEastAsia" w:hAnsiTheme="majorHAnsi" w:cstheme="majorBidi"/>
      <w:b/>
      <w:bCs/>
    </w:rPr>
  </w:style>
  <w:style w:type="paragraph" w:styleId="TOC1">
    <w:name w:val="toc 1"/>
    <w:basedOn w:val="Normal"/>
    <w:next w:val="Normal"/>
    <w:autoRedefine/>
    <w:rsid w:val="00527740"/>
    <w:pPr>
      <w:spacing w:after="100"/>
    </w:pPr>
  </w:style>
  <w:style w:type="paragraph" w:styleId="TOC2">
    <w:name w:val="toc 2"/>
    <w:basedOn w:val="Normal"/>
    <w:next w:val="Normal"/>
    <w:autoRedefine/>
    <w:rsid w:val="00527740"/>
    <w:pPr>
      <w:spacing w:after="100"/>
      <w:ind w:left="240"/>
    </w:pPr>
  </w:style>
  <w:style w:type="paragraph" w:styleId="TOC3">
    <w:name w:val="toc 3"/>
    <w:basedOn w:val="Normal"/>
    <w:next w:val="Normal"/>
    <w:autoRedefine/>
    <w:rsid w:val="00527740"/>
    <w:pPr>
      <w:spacing w:after="100"/>
      <w:ind w:left="480"/>
    </w:pPr>
  </w:style>
  <w:style w:type="paragraph" w:styleId="TOC4">
    <w:name w:val="toc 4"/>
    <w:basedOn w:val="Normal"/>
    <w:next w:val="Normal"/>
    <w:autoRedefine/>
    <w:rsid w:val="00527740"/>
    <w:pPr>
      <w:spacing w:after="100"/>
      <w:ind w:left="720"/>
    </w:pPr>
  </w:style>
  <w:style w:type="paragraph" w:styleId="TOC5">
    <w:name w:val="toc 5"/>
    <w:basedOn w:val="Normal"/>
    <w:next w:val="Normal"/>
    <w:autoRedefine/>
    <w:rsid w:val="00527740"/>
    <w:pPr>
      <w:spacing w:after="100"/>
      <w:ind w:left="960"/>
    </w:pPr>
  </w:style>
  <w:style w:type="paragraph" w:styleId="TOC6">
    <w:name w:val="toc 6"/>
    <w:basedOn w:val="Normal"/>
    <w:next w:val="Normal"/>
    <w:autoRedefine/>
    <w:rsid w:val="00527740"/>
    <w:pPr>
      <w:spacing w:after="100"/>
      <w:ind w:left="1200"/>
    </w:pPr>
  </w:style>
  <w:style w:type="paragraph" w:styleId="TOC7">
    <w:name w:val="toc 7"/>
    <w:basedOn w:val="Normal"/>
    <w:next w:val="Normal"/>
    <w:autoRedefine/>
    <w:rsid w:val="00527740"/>
    <w:pPr>
      <w:spacing w:after="100"/>
      <w:ind w:left="1440"/>
    </w:pPr>
  </w:style>
  <w:style w:type="paragraph" w:styleId="TOC8">
    <w:name w:val="toc 8"/>
    <w:basedOn w:val="Normal"/>
    <w:next w:val="Normal"/>
    <w:autoRedefine/>
    <w:rsid w:val="00527740"/>
    <w:pPr>
      <w:spacing w:after="100"/>
      <w:ind w:left="1680"/>
    </w:pPr>
  </w:style>
  <w:style w:type="paragraph" w:styleId="TOC9">
    <w:name w:val="toc 9"/>
    <w:basedOn w:val="Normal"/>
    <w:next w:val="Normal"/>
    <w:autoRedefine/>
    <w:rsid w:val="00527740"/>
    <w:pPr>
      <w:spacing w:after="100"/>
      <w:ind w:left="1920"/>
    </w:pPr>
  </w:style>
  <w:style w:type="paragraph" w:styleId="TOCHeading">
    <w:name w:val="TOC Heading"/>
    <w:basedOn w:val="Heading1"/>
    <w:next w:val="Normal"/>
    <w:uiPriority w:val="39"/>
    <w:semiHidden/>
    <w:unhideWhenUsed/>
    <w:qFormat/>
    <w:rsid w:val="00527740"/>
    <w:pPr>
      <w:outlineLvl w:val="9"/>
    </w:pPr>
  </w:style>
  <w:style w:type="character" w:styleId="Strong">
    <w:name w:val="Strong"/>
    <w:basedOn w:val="DefaultParagraphFont"/>
    <w:uiPriority w:val="22"/>
    <w:qFormat/>
    <w:rsid w:val="009F2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7625">
      <w:bodyDiv w:val="1"/>
      <w:marLeft w:val="0"/>
      <w:marRight w:val="0"/>
      <w:marTop w:val="0"/>
      <w:marBottom w:val="0"/>
      <w:divBdr>
        <w:top w:val="none" w:sz="0" w:space="0" w:color="auto"/>
        <w:left w:val="none" w:sz="0" w:space="0" w:color="auto"/>
        <w:bottom w:val="none" w:sz="0" w:space="0" w:color="auto"/>
        <w:right w:val="none" w:sz="0" w:space="0" w:color="auto"/>
      </w:divBdr>
      <w:divsChild>
        <w:div w:id="1125736611">
          <w:marLeft w:val="0"/>
          <w:marRight w:val="0"/>
          <w:marTop w:val="0"/>
          <w:marBottom w:val="0"/>
          <w:divBdr>
            <w:top w:val="none" w:sz="0" w:space="0" w:color="auto"/>
            <w:left w:val="none" w:sz="0" w:space="0" w:color="auto"/>
            <w:bottom w:val="none" w:sz="0" w:space="0" w:color="auto"/>
            <w:right w:val="none" w:sz="0" w:space="0" w:color="auto"/>
          </w:divBdr>
          <w:divsChild>
            <w:div w:id="1940914895">
              <w:marLeft w:val="0"/>
              <w:marRight w:val="0"/>
              <w:marTop w:val="0"/>
              <w:marBottom w:val="0"/>
              <w:divBdr>
                <w:top w:val="none" w:sz="0" w:space="0" w:color="auto"/>
                <w:left w:val="none" w:sz="0" w:space="0" w:color="auto"/>
                <w:bottom w:val="none" w:sz="0" w:space="0" w:color="auto"/>
                <w:right w:val="none" w:sz="0" w:space="0" w:color="auto"/>
              </w:divBdr>
              <w:divsChild>
                <w:div w:id="340200955">
                  <w:marLeft w:val="0"/>
                  <w:marRight w:val="0"/>
                  <w:marTop w:val="0"/>
                  <w:marBottom w:val="0"/>
                  <w:divBdr>
                    <w:top w:val="none" w:sz="0" w:space="0" w:color="auto"/>
                    <w:left w:val="none" w:sz="0" w:space="0" w:color="auto"/>
                    <w:bottom w:val="none" w:sz="0" w:space="0" w:color="auto"/>
                    <w:right w:val="none" w:sz="0" w:space="0" w:color="auto"/>
                  </w:divBdr>
                  <w:divsChild>
                    <w:div w:id="582645142">
                      <w:marLeft w:val="0"/>
                      <w:marRight w:val="0"/>
                      <w:marTop w:val="0"/>
                      <w:marBottom w:val="0"/>
                      <w:divBdr>
                        <w:top w:val="none" w:sz="0" w:space="0" w:color="auto"/>
                        <w:left w:val="none" w:sz="0" w:space="0" w:color="auto"/>
                        <w:bottom w:val="none" w:sz="0" w:space="0" w:color="auto"/>
                        <w:right w:val="none" w:sz="0" w:space="0" w:color="auto"/>
                      </w:divBdr>
                      <w:divsChild>
                        <w:div w:id="371350445">
                          <w:marLeft w:val="0"/>
                          <w:marRight w:val="0"/>
                          <w:marTop w:val="0"/>
                          <w:marBottom w:val="0"/>
                          <w:divBdr>
                            <w:top w:val="none" w:sz="0" w:space="0" w:color="auto"/>
                            <w:left w:val="none" w:sz="0" w:space="0" w:color="auto"/>
                            <w:bottom w:val="none" w:sz="0" w:space="0" w:color="auto"/>
                            <w:right w:val="none" w:sz="0" w:space="0" w:color="auto"/>
                          </w:divBdr>
                          <w:divsChild>
                            <w:div w:id="5887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8637">
      <w:bodyDiv w:val="1"/>
      <w:marLeft w:val="0"/>
      <w:marRight w:val="0"/>
      <w:marTop w:val="0"/>
      <w:marBottom w:val="0"/>
      <w:divBdr>
        <w:top w:val="none" w:sz="0" w:space="0" w:color="auto"/>
        <w:left w:val="none" w:sz="0" w:space="0" w:color="auto"/>
        <w:bottom w:val="none" w:sz="0" w:space="0" w:color="auto"/>
        <w:right w:val="none" w:sz="0" w:space="0" w:color="auto"/>
      </w:divBdr>
    </w:div>
    <w:div w:id="271591874">
      <w:bodyDiv w:val="1"/>
      <w:marLeft w:val="0"/>
      <w:marRight w:val="0"/>
      <w:marTop w:val="0"/>
      <w:marBottom w:val="0"/>
      <w:divBdr>
        <w:top w:val="none" w:sz="0" w:space="0" w:color="auto"/>
        <w:left w:val="none" w:sz="0" w:space="0" w:color="auto"/>
        <w:bottom w:val="none" w:sz="0" w:space="0" w:color="auto"/>
        <w:right w:val="none" w:sz="0" w:space="0" w:color="auto"/>
      </w:divBdr>
    </w:div>
    <w:div w:id="555823194">
      <w:bodyDiv w:val="1"/>
      <w:marLeft w:val="0"/>
      <w:marRight w:val="0"/>
      <w:marTop w:val="0"/>
      <w:marBottom w:val="0"/>
      <w:divBdr>
        <w:top w:val="none" w:sz="0" w:space="0" w:color="auto"/>
        <w:left w:val="none" w:sz="0" w:space="0" w:color="auto"/>
        <w:bottom w:val="none" w:sz="0" w:space="0" w:color="auto"/>
        <w:right w:val="none" w:sz="0" w:space="0" w:color="auto"/>
      </w:divBdr>
    </w:div>
    <w:div w:id="669796241">
      <w:bodyDiv w:val="1"/>
      <w:marLeft w:val="0"/>
      <w:marRight w:val="0"/>
      <w:marTop w:val="0"/>
      <w:marBottom w:val="0"/>
      <w:divBdr>
        <w:top w:val="none" w:sz="0" w:space="0" w:color="auto"/>
        <w:left w:val="none" w:sz="0" w:space="0" w:color="auto"/>
        <w:bottom w:val="none" w:sz="0" w:space="0" w:color="auto"/>
        <w:right w:val="none" w:sz="0" w:space="0" w:color="auto"/>
      </w:divBdr>
    </w:div>
    <w:div w:id="1106929850">
      <w:bodyDiv w:val="1"/>
      <w:marLeft w:val="0"/>
      <w:marRight w:val="0"/>
      <w:marTop w:val="0"/>
      <w:marBottom w:val="0"/>
      <w:divBdr>
        <w:top w:val="none" w:sz="0" w:space="0" w:color="auto"/>
        <w:left w:val="none" w:sz="0" w:space="0" w:color="auto"/>
        <w:bottom w:val="none" w:sz="0" w:space="0" w:color="auto"/>
        <w:right w:val="none" w:sz="0" w:space="0" w:color="auto"/>
      </w:divBdr>
    </w:div>
    <w:div w:id="15198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733069">
          <w:marLeft w:val="0"/>
          <w:marRight w:val="0"/>
          <w:marTop w:val="0"/>
          <w:marBottom w:val="0"/>
          <w:divBdr>
            <w:top w:val="none" w:sz="0" w:space="0" w:color="auto"/>
            <w:left w:val="none" w:sz="0" w:space="0" w:color="auto"/>
            <w:bottom w:val="none" w:sz="0" w:space="0" w:color="auto"/>
            <w:right w:val="none" w:sz="0" w:space="0" w:color="auto"/>
          </w:divBdr>
        </w:div>
      </w:divsChild>
    </w:div>
    <w:div w:id="1569345719">
      <w:bodyDiv w:val="1"/>
      <w:marLeft w:val="0"/>
      <w:marRight w:val="0"/>
      <w:marTop w:val="0"/>
      <w:marBottom w:val="0"/>
      <w:divBdr>
        <w:top w:val="none" w:sz="0" w:space="0" w:color="auto"/>
        <w:left w:val="none" w:sz="0" w:space="0" w:color="auto"/>
        <w:bottom w:val="none" w:sz="0" w:space="0" w:color="auto"/>
        <w:right w:val="none" w:sz="0" w:space="0" w:color="auto"/>
      </w:divBdr>
    </w:div>
    <w:div w:id="1639533541">
      <w:bodyDiv w:val="1"/>
      <w:marLeft w:val="0"/>
      <w:marRight w:val="0"/>
      <w:marTop w:val="0"/>
      <w:marBottom w:val="0"/>
      <w:divBdr>
        <w:top w:val="none" w:sz="0" w:space="0" w:color="auto"/>
        <w:left w:val="none" w:sz="0" w:space="0" w:color="auto"/>
        <w:bottom w:val="none" w:sz="0" w:space="0" w:color="auto"/>
        <w:right w:val="none" w:sz="0" w:space="0" w:color="auto"/>
      </w:divBdr>
    </w:div>
    <w:div w:id="1730494283">
      <w:bodyDiv w:val="1"/>
      <w:marLeft w:val="0"/>
      <w:marRight w:val="0"/>
      <w:marTop w:val="0"/>
      <w:marBottom w:val="0"/>
      <w:divBdr>
        <w:top w:val="none" w:sz="0" w:space="0" w:color="auto"/>
        <w:left w:val="none" w:sz="0" w:space="0" w:color="auto"/>
        <w:bottom w:val="none" w:sz="0" w:space="0" w:color="auto"/>
        <w:right w:val="none" w:sz="0" w:space="0" w:color="auto"/>
      </w:divBdr>
    </w:div>
    <w:div w:id="1816683031">
      <w:bodyDiv w:val="1"/>
      <w:marLeft w:val="0"/>
      <w:marRight w:val="0"/>
      <w:marTop w:val="0"/>
      <w:marBottom w:val="0"/>
      <w:divBdr>
        <w:top w:val="none" w:sz="0" w:space="0" w:color="auto"/>
        <w:left w:val="none" w:sz="0" w:space="0" w:color="auto"/>
        <w:bottom w:val="none" w:sz="0" w:space="0" w:color="auto"/>
        <w:right w:val="none" w:sz="0" w:space="0" w:color="auto"/>
      </w:divBdr>
    </w:div>
    <w:div w:id="2002657123">
      <w:bodyDiv w:val="1"/>
      <w:marLeft w:val="0"/>
      <w:marRight w:val="0"/>
      <w:marTop w:val="0"/>
      <w:marBottom w:val="0"/>
      <w:divBdr>
        <w:top w:val="none" w:sz="0" w:space="0" w:color="auto"/>
        <w:left w:val="none" w:sz="0" w:space="0" w:color="auto"/>
        <w:bottom w:val="none" w:sz="0" w:space="0" w:color="auto"/>
        <w:right w:val="none" w:sz="0" w:space="0" w:color="auto"/>
      </w:divBdr>
    </w:div>
    <w:div w:id="21411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pointresearch.com/licensing.html" TargetMode="External"/><Relationship Id="rId5" Type="http://schemas.openxmlformats.org/officeDocument/2006/relationships/webSettings" Target="webSettings.xml"/><Relationship Id="rId10" Type="http://schemas.openxmlformats.org/officeDocument/2006/relationships/hyperlink" Target="mailto:info@energypointresearch.com" TargetMode="External"/><Relationship Id="rId4" Type="http://schemas.openxmlformats.org/officeDocument/2006/relationships/settings" Target="settings.xml"/><Relationship Id="rId9" Type="http://schemas.openxmlformats.org/officeDocument/2006/relationships/hyperlink" Target="http://www.energypoint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A071-2DE9-480A-AC85-BD2E3D8E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Doug Sheridan</cp:lastModifiedBy>
  <cp:revision>2</cp:revision>
  <cp:lastPrinted>2018-02-06T21:42:00Z</cp:lastPrinted>
  <dcterms:created xsi:type="dcterms:W3CDTF">2018-02-06T22:07:00Z</dcterms:created>
  <dcterms:modified xsi:type="dcterms:W3CDTF">2018-02-06T22:07:00Z</dcterms:modified>
</cp:coreProperties>
</file>