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F8047" w14:textId="46A9BBC9" w:rsidR="00CA405F" w:rsidRPr="0043387C" w:rsidRDefault="00CA405F" w:rsidP="005F34DC">
      <w:pPr>
        <w:keepNext/>
        <w:autoSpaceDE w:val="0"/>
        <w:autoSpaceDN w:val="0"/>
        <w:spacing w:after="0" w:line="240" w:lineRule="auto"/>
        <w:contextualSpacing/>
        <w:outlineLvl w:val="2"/>
        <w:rPr>
          <w:rFonts w:ascii="HelveticaNeueLT Std" w:eastAsia="Times New Roman" w:hAnsi="HelveticaNeueLT Std" w:cs="Arial"/>
          <w:bCs/>
          <w:sz w:val="20"/>
          <w:szCs w:val="20"/>
        </w:rPr>
      </w:pPr>
      <w:r w:rsidRPr="0043387C">
        <w:rPr>
          <w:rFonts w:ascii="HelveticaNeueLT Std" w:eastAsia="Times New Roman" w:hAnsi="HelveticaNeueLT Std" w:cs="Arial"/>
          <w:bCs/>
          <w:sz w:val="20"/>
          <w:szCs w:val="20"/>
        </w:rPr>
        <w:tab/>
      </w:r>
      <w:r w:rsidRPr="0043387C">
        <w:rPr>
          <w:rFonts w:ascii="HelveticaNeueLT Std" w:eastAsia="Times New Roman" w:hAnsi="HelveticaNeueLT Std" w:cs="Arial"/>
          <w:bCs/>
          <w:sz w:val="20"/>
          <w:szCs w:val="20"/>
        </w:rPr>
        <w:tab/>
      </w:r>
      <w:r w:rsidRPr="0043387C">
        <w:rPr>
          <w:rFonts w:ascii="HelveticaNeueLT Std" w:eastAsia="Times New Roman" w:hAnsi="HelveticaNeueLT Std" w:cs="Arial"/>
          <w:bCs/>
          <w:sz w:val="20"/>
          <w:szCs w:val="20"/>
        </w:rPr>
        <w:tab/>
      </w:r>
      <w:r w:rsidRPr="0043387C">
        <w:rPr>
          <w:rFonts w:ascii="HelveticaNeueLT Std" w:eastAsia="Times New Roman" w:hAnsi="HelveticaNeueLT Std" w:cs="Arial"/>
          <w:bCs/>
          <w:sz w:val="20"/>
          <w:szCs w:val="20"/>
        </w:rPr>
        <w:tab/>
      </w:r>
      <w:r w:rsidRPr="0043387C">
        <w:rPr>
          <w:rFonts w:ascii="HelveticaNeueLT Std" w:eastAsia="Times New Roman" w:hAnsi="HelveticaNeueLT Std" w:cs="Arial"/>
          <w:bCs/>
          <w:sz w:val="20"/>
          <w:szCs w:val="20"/>
        </w:rPr>
        <w:tab/>
      </w:r>
      <w:r w:rsidRPr="0043387C">
        <w:rPr>
          <w:rFonts w:ascii="HelveticaNeueLT Std" w:eastAsia="Times New Roman" w:hAnsi="HelveticaNeueLT Std" w:cs="Arial"/>
          <w:bCs/>
          <w:sz w:val="20"/>
          <w:szCs w:val="20"/>
        </w:rPr>
        <w:tab/>
      </w:r>
      <w:r w:rsidRPr="0043387C">
        <w:rPr>
          <w:rFonts w:ascii="HelveticaNeueLT Std" w:eastAsia="Times New Roman" w:hAnsi="HelveticaNeueLT Std" w:cs="Arial"/>
          <w:bCs/>
          <w:sz w:val="20"/>
          <w:szCs w:val="20"/>
        </w:rPr>
        <w:tab/>
      </w:r>
      <w:r w:rsidRPr="0043387C">
        <w:rPr>
          <w:rFonts w:ascii="HelveticaNeueLT Std" w:eastAsia="Times New Roman" w:hAnsi="HelveticaNeueLT Std" w:cs="Arial"/>
          <w:bCs/>
          <w:sz w:val="20"/>
          <w:szCs w:val="20"/>
        </w:rPr>
        <w:tab/>
      </w:r>
      <w:r w:rsidR="001B4644" w:rsidRPr="0043387C">
        <w:rPr>
          <w:rFonts w:ascii="HelveticaNeueLT Std" w:hAnsi="HelveticaNeueLT Std"/>
          <w:noProof/>
          <w:lang w:bidi="he-IL"/>
        </w:rPr>
        <w:drawing>
          <wp:inline distT="0" distB="0" distL="0" distR="0" wp14:anchorId="7895DE90" wp14:editId="288844A2">
            <wp:extent cx="2189744" cy="6667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niox-Medical TT c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4478" cy="671236"/>
                    </a:xfrm>
                    <a:prstGeom prst="rect">
                      <a:avLst/>
                    </a:prstGeom>
                  </pic:spPr>
                </pic:pic>
              </a:graphicData>
            </a:graphic>
          </wp:inline>
        </w:drawing>
      </w:r>
    </w:p>
    <w:p w14:paraId="0608F8C4" w14:textId="59556B97" w:rsidR="00CA405F" w:rsidRPr="0043387C" w:rsidRDefault="00165C57" w:rsidP="005F34DC">
      <w:pPr>
        <w:keepNext/>
        <w:autoSpaceDE w:val="0"/>
        <w:autoSpaceDN w:val="0"/>
        <w:spacing w:after="0" w:line="240" w:lineRule="auto"/>
        <w:contextualSpacing/>
        <w:outlineLvl w:val="2"/>
        <w:rPr>
          <w:rFonts w:ascii="HelveticaNeueLT Std" w:eastAsia="Times New Roman" w:hAnsi="HelveticaNeueLT Std" w:cs="Arial"/>
          <w:b/>
          <w:bCs/>
          <w:sz w:val="20"/>
          <w:szCs w:val="20"/>
          <w:u w:val="single"/>
        </w:rPr>
      </w:pPr>
      <w:r w:rsidRPr="0043387C">
        <w:rPr>
          <w:rFonts w:ascii="HelveticaNeueLT Std" w:eastAsia="Times New Roman" w:hAnsi="HelveticaNeueLT Std" w:cs="Arial"/>
          <w:b/>
          <w:bCs/>
          <w:sz w:val="20"/>
          <w:szCs w:val="20"/>
          <w:u w:val="single"/>
        </w:rPr>
        <w:t>FOR IMMEDIATE RELEASE</w:t>
      </w:r>
    </w:p>
    <w:p w14:paraId="213C29EF" w14:textId="77777777" w:rsidR="00CA405F" w:rsidRPr="0043387C" w:rsidRDefault="00CA405F" w:rsidP="005F34DC">
      <w:pPr>
        <w:keepNext/>
        <w:autoSpaceDE w:val="0"/>
        <w:autoSpaceDN w:val="0"/>
        <w:spacing w:after="0" w:line="240" w:lineRule="auto"/>
        <w:contextualSpacing/>
        <w:outlineLvl w:val="2"/>
        <w:rPr>
          <w:rFonts w:ascii="HelveticaNeueLT Std" w:eastAsia="Times New Roman" w:hAnsi="HelveticaNeueLT Std" w:cs="Arial"/>
          <w:bCs/>
          <w:sz w:val="20"/>
          <w:szCs w:val="20"/>
        </w:rPr>
      </w:pPr>
    </w:p>
    <w:p w14:paraId="1C21682E" w14:textId="5CE67BE7" w:rsidR="00CA405F" w:rsidRPr="0043387C" w:rsidRDefault="00CA405F" w:rsidP="00CB718A">
      <w:pPr>
        <w:keepNext/>
        <w:autoSpaceDE w:val="0"/>
        <w:autoSpaceDN w:val="0"/>
        <w:spacing w:after="0" w:line="240" w:lineRule="auto"/>
        <w:contextualSpacing/>
        <w:outlineLvl w:val="2"/>
        <w:rPr>
          <w:rFonts w:ascii="HelveticaNeueLT Std" w:eastAsia="Times New Roman" w:hAnsi="HelveticaNeueLT Std" w:cs="Arial"/>
          <w:b/>
          <w:bCs/>
          <w:sz w:val="20"/>
          <w:szCs w:val="20"/>
        </w:rPr>
      </w:pPr>
      <w:r w:rsidRPr="0043387C">
        <w:rPr>
          <w:rFonts w:ascii="HelveticaNeueLT Std" w:eastAsia="Times New Roman" w:hAnsi="HelveticaNeueLT Std" w:cs="Arial"/>
          <w:b/>
          <w:bCs/>
          <w:sz w:val="20"/>
          <w:szCs w:val="20"/>
        </w:rPr>
        <w:t>Media Contact:</w:t>
      </w:r>
    </w:p>
    <w:p w14:paraId="3216BF10" w14:textId="2D2C1329" w:rsidR="00CA405F" w:rsidRPr="0043387C" w:rsidRDefault="00165C57" w:rsidP="00CB718A">
      <w:pPr>
        <w:keepNext/>
        <w:autoSpaceDE w:val="0"/>
        <w:autoSpaceDN w:val="0"/>
        <w:spacing w:after="0" w:line="240" w:lineRule="auto"/>
        <w:contextualSpacing/>
        <w:outlineLvl w:val="2"/>
        <w:rPr>
          <w:rFonts w:ascii="HelveticaNeueLT Std" w:eastAsia="Times New Roman" w:hAnsi="HelveticaNeueLT Std" w:cs="Arial"/>
          <w:bCs/>
          <w:sz w:val="20"/>
          <w:szCs w:val="20"/>
        </w:rPr>
      </w:pPr>
      <w:r w:rsidRPr="0043387C">
        <w:rPr>
          <w:rFonts w:ascii="HelveticaNeueLT Std" w:eastAsia="Times New Roman" w:hAnsi="HelveticaNeueLT Std" w:cs="Arial"/>
          <w:bCs/>
          <w:sz w:val="20"/>
          <w:szCs w:val="20"/>
        </w:rPr>
        <w:t>Brandy Craig</w:t>
      </w:r>
    </w:p>
    <w:p w14:paraId="0EE7C644" w14:textId="34E18A82" w:rsidR="00165C57" w:rsidRPr="0043387C" w:rsidRDefault="00165C57" w:rsidP="00CB718A">
      <w:pPr>
        <w:keepNext/>
        <w:autoSpaceDE w:val="0"/>
        <w:autoSpaceDN w:val="0"/>
        <w:spacing w:after="0" w:line="240" w:lineRule="auto"/>
        <w:contextualSpacing/>
        <w:outlineLvl w:val="2"/>
        <w:rPr>
          <w:rFonts w:ascii="HelveticaNeueLT Std" w:eastAsia="Times New Roman" w:hAnsi="HelveticaNeueLT Std" w:cs="Arial"/>
          <w:bCs/>
          <w:sz w:val="20"/>
          <w:szCs w:val="20"/>
        </w:rPr>
      </w:pPr>
      <w:r w:rsidRPr="0043387C">
        <w:rPr>
          <w:rFonts w:ascii="HelveticaNeueLT Std" w:eastAsia="Times New Roman" w:hAnsi="HelveticaNeueLT Std" w:cs="Arial"/>
          <w:bCs/>
          <w:sz w:val="20"/>
          <w:szCs w:val="20"/>
        </w:rPr>
        <w:t>305-676-16749</w:t>
      </w:r>
    </w:p>
    <w:p w14:paraId="4B8B75B7" w14:textId="40EABBE9" w:rsidR="00165C57" w:rsidRPr="0043387C" w:rsidRDefault="00165C57" w:rsidP="00CB718A">
      <w:pPr>
        <w:keepNext/>
        <w:autoSpaceDE w:val="0"/>
        <w:autoSpaceDN w:val="0"/>
        <w:spacing w:after="0" w:line="240" w:lineRule="auto"/>
        <w:contextualSpacing/>
        <w:outlineLvl w:val="2"/>
        <w:rPr>
          <w:rFonts w:ascii="HelveticaNeueLT Std" w:eastAsia="Times New Roman" w:hAnsi="HelveticaNeueLT Std" w:cs="Arial"/>
          <w:bCs/>
          <w:sz w:val="20"/>
          <w:szCs w:val="20"/>
        </w:rPr>
      </w:pPr>
      <w:r w:rsidRPr="0043387C">
        <w:rPr>
          <w:rFonts w:ascii="HelveticaNeueLT Std" w:eastAsia="Times New Roman" w:hAnsi="HelveticaNeueLT Std" w:cs="Arial"/>
          <w:bCs/>
          <w:sz w:val="20"/>
          <w:szCs w:val="20"/>
        </w:rPr>
        <w:t>bcraig@tissuetechinc.com</w:t>
      </w:r>
    </w:p>
    <w:p w14:paraId="2DACA307" w14:textId="77777777" w:rsidR="00A35685" w:rsidRPr="0043387C" w:rsidRDefault="00A35685" w:rsidP="005F34DC">
      <w:pPr>
        <w:spacing w:after="0" w:line="240" w:lineRule="auto"/>
        <w:jc w:val="center"/>
        <w:rPr>
          <w:rFonts w:ascii="HelveticaNeueLT Std" w:hAnsi="HelveticaNeueLT Std"/>
          <w:b/>
          <w:sz w:val="20"/>
        </w:rPr>
      </w:pPr>
    </w:p>
    <w:p w14:paraId="3C5B9648" w14:textId="77777777" w:rsidR="007D174D" w:rsidRDefault="007D174D" w:rsidP="00F70357">
      <w:pPr>
        <w:spacing w:after="0" w:line="240" w:lineRule="auto"/>
        <w:jc w:val="center"/>
        <w:rPr>
          <w:rFonts w:ascii="HelveticaNeueLT Std" w:hAnsi="HelveticaNeueLT Std" w:cs="Arial"/>
          <w:b/>
          <w:szCs w:val="20"/>
        </w:rPr>
      </w:pPr>
    </w:p>
    <w:p w14:paraId="33D659CA" w14:textId="6AB517F5" w:rsidR="007B1804" w:rsidRDefault="007B1804" w:rsidP="00F70357">
      <w:pPr>
        <w:spacing w:after="0" w:line="240" w:lineRule="auto"/>
        <w:jc w:val="center"/>
        <w:rPr>
          <w:rFonts w:ascii="HelveticaNeueLT Std" w:hAnsi="HelveticaNeueLT Std" w:cs="Arial"/>
          <w:b/>
          <w:szCs w:val="20"/>
        </w:rPr>
      </w:pPr>
      <w:r>
        <w:rPr>
          <w:rFonts w:ascii="HelveticaNeueLT Std" w:hAnsi="HelveticaNeueLT Std" w:cs="Arial"/>
          <w:b/>
          <w:szCs w:val="20"/>
        </w:rPr>
        <w:t xml:space="preserve">Amniox Medical </w:t>
      </w:r>
      <w:r w:rsidR="00975FA7">
        <w:rPr>
          <w:rFonts w:ascii="HelveticaNeueLT Std" w:hAnsi="HelveticaNeueLT Std" w:cs="Arial"/>
          <w:b/>
          <w:szCs w:val="20"/>
        </w:rPr>
        <w:t>Announces</w:t>
      </w:r>
      <w:r>
        <w:rPr>
          <w:rFonts w:ascii="HelveticaNeueLT Std" w:hAnsi="HelveticaNeueLT Std" w:cs="Arial"/>
          <w:b/>
          <w:szCs w:val="20"/>
        </w:rPr>
        <w:t xml:space="preserve"> Positive </w:t>
      </w:r>
      <w:r w:rsidR="007D174D">
        <w:rPr>
          <w:rFonts w:ascii="HelveticaNeueLT Std" w:hAnsi="HelveticaNeueLT Std" w:cs="Arial"/>
          <w:b/>
          <w:szCs w:val="20"/>
        </w:rPr>
        <w:t>Results</w:t>
      </w:r>
      <w:r>
        <w:rPr>
          <w:rFonts w:ascii="HelveticaNeueLT Std" w:hAnsi="HelveticaNeueLT Std" w:cs="Arial"/>
          <w:b/>
          <w:szCs w:val="20"/>
        </w:rPr>
        <w:t xml:space="preserve"> </w:t>
      </w:r>
      <w:r w:rsidR="00931552">
        <w:rPr>
          <w:rFonts w:ascii="HelveticaNeueLT Std" w:hAnsi="HelveticaNeueLT Std" w:cs="Arial"/>
          <w:b/>
          <w:szCs w:val="20"/>
        </w:rPr>
        <w:t xml:space="preserve">from Phase 2 Pilot Trial of </w:t>
      </w:r>
      <w:r w:rsidR="007D174D">
        <w:rPr>
          <w:rFonts w:ascii="HelveticaNeueLT Std" w:hAnsi="HelveticaNeueLT Std" w:cs="Arial"/>
          <w:b/>
          <w:szCs w:val="20"/>
        </w:rPr>
        <w:t>T</w:t>
      </w:r>
      <w:r>
        <w:rPr>
          <w:rFonts w:ascii="HelveticaNeueLT Std" w:hAnsi="HelveticaNeueLT Std" w:cs="Arial"/>
          <w:b/>
          <w:szCs w:val="20"/>
        </w:rPr>
        <w:t>TAX01</w:t>
      </w:r>
      <w:r w:rsidR="0041075C">
        <w:rPr>
          <w:rFonts w:ascii="HelveticaNeueLT Std" w:hAnsi="HelveticaNeueLT Std" w:cs="Arial"/>
          <w:b/>
          <w:szCs w:val="20"/>
        </w:rPr>
        <w:t xml:space="preserve"> Cryopreserved Human Umbilical Cord</w:t>
      </w:r>
      <w:r w:rsidR="007D174D">
        <w:rPr>
          <w:rFonts w:ascii="HelveticaNeueLT Std" w:hAnsi="HelveticaNeueLT Std" w:cs="Arial"/>
          <w:b/>
          <w:szCs w:val="20"/>
        </w:rPr>
        <w:t xml:space="preserve"> </w:t>
      </w:r>
      <w:r w:rsidR="003B6580">
        <w:rPr>
          <w:rFonts w:ascii="HelveticaNeueLT Std" w:hAnsi="HelveticaNeueLT Std" w:cs="Arial"/>
          <w:b/>
          <w:szCs w:val="20"/>
        </w:rPr>
        <w:t>for Complex</w:t>
      </w:r>
      <w:r w:rsidR="006D102B">
        <w:rPr>
          <w:rFonts w:ascii="HelveticaNeueLT Std" w:hAnsi="HelveticaNeueLT Std" w:cs="Arial"/>
          <w:b/>
          <w:szCs w:val="20"/>
        </w:rPr>
        <w:t xml:space="preserve"> Non-healing</w:t>
      </w:r>
      <w:r w:rsidR="003B6580">
        <w:rPr>
          <w:rFonts w:ascii="HelveticaNeueLT Std" w:hAnsi="HelveticaNeueLT Std" w:cs="Arial"/>
          <w:b/>
          <w:szCs w:val="20"/>
        </w:rPr>
        <w:t xml:space="preserve"> Diabetic Foot Ulcers</w:t>
      </w:r>
    </w:p>
    <w:p w14:paraId="27F30A8D" w14:textId="77777777" w:rsidR="00477E28" w:rsidRDefault="00477E28" w:rsidP="00477E28">
      <w:pPr>
        <w:spacing w:after="0" w:line="240" w:lineRule="auto"/>
        <w:jc w:val="center"/>
        <w:rPr>
          <w:rFonts w:ascii="HelveticaNeueLT Std" w:hAnsi="HelveticaNeueLT Std" w:cs="Arial"/>
          <w:b/>
          <w:i/>
          <w:szCs w:val="20"/>
        </w:rPr>
      </w:pPr>
    </w:p>
    <w:p w14:paraId="1EC0A23A" w14:textId="4C7C70D0" w:rsidR="00CD0C7B" w:rsidRDefault="008C3AFE" w:rsidP="008C3AFE">
      <w:pPr>
        <w:spacing w:after="0" w:line="240" w:lineRule="auto"/>
        <w:rPr>
          <w:rFonts w:ascii="HelveticaNeueLT Std" w:hAnsi="HelveticaNeueLT Std" w:cs="Arial"/>
          <w:szCs w:val="20"/>
        </w:rPr>
      </w:pPr>
      <w:r w:rsidRPr="0043387C">
        <w:rPr>
          <w:rFonts w:ascii="HelveticaNeueLT Std" w:hAnsi="HelveticaNeueLT Std" w:cs="Arial"/>
          <w:szCs w:val="20"/>
        </w:rPr>
        <w:t xml:space="preserve">Miami, Fla. – May </w:t>
      </w:r>
      <w:r w:rsidR="00226B7C">
        <w:rPr>
          <w:rFonts w:ascii="HelveticaNeueLT Std" w:hAnsi="HelveticaNeueLT Std" w:cs="Arial"/>
          <w:szCs w:val="20"/>
        </w:rPr>
        <w:t>9</w:t>
      </w:r>
      <w:r w:rsidRPr="0043387C">
        <w:rPr>
          <w:rFonts w:ascii="HelveticaNeueLT Std" w:hAnsi="HelveticaNeueLT Std" w:cs="Arial"/>
          <w:szCs w:val="20"/>
        </w:rPr>
        <w:t xml:space="preserve">, 2019 – </w:t>
      </w:r>
      <w:hyperlink r:id="rId8" w:history="1">
        <w:r w:rsidRPr="0043387C">
          <w:rPr>
            <w:rStyle w:val="Hyperlink"/>
            <w:rFonts w:ascii="HelveticaNeueLT Std" w:hAnsi="HelveticaNeueLT Std" w:cs="Arial"/>
            <w:szCs w:val="20"/>
          </w:rPr>
          <w:t>Amniox Medical, Inc.</w:t>
        </w:r>
      </w:hyperlink>
      <w:r w:rsidRPr="0043387C">
        <w:rPr>
          <w:rFonts w:ascii="HelveticaNeueLT Std" w:hAnsi="HelveticaNeueLT Std" w:cs="Arial"/>
          <w:szCs w:val="20"/>
        </w:rPr>
        <w:t xml:space="preserve">, a </w:t>
      </w:r>
      <w:hyperlink r:id="rId9" w:history="1">
        <w:r w:rsidRPr="0043387C">
          <w:rPr>
            <w:rStyle w:val="Hyperlink"/>
            <w:rFonts w:ascii="HelveticaNeueLT Std" w:hAnsi="HelveticaNeueLT Std" w:cs="Arial"/>
            <w:szCs w:val="20"/>
          </w:rPr>
          <w:t>TissueTech, Inc.</w:t>
        </w:r>
      </w:hyperlink>
      <w:r w:rsidRPr="0043387C">
        <w:rPr>
          <w:rFonts w:ascii="HelveticaNeueLT Std" w:hAnsi="HelveticaNeueLT Std" w:cs="Arial"/>
          <w:szCs w:val="20"/>
        </w:rPr>
        <w:t xml:space="preserve"> company</w:t>
      </w:r>
      <w:r w:rsidR="00C92CE5">
        <w:rPr>
          <w:rFonts w:ascii="HelveticaNeueLT Std" w:hAnsi="HelveticaNeueLT Std" w:cs="Arial"/>
          <w:szCs w:val="20"/>
        </w:rPr>
        <w:t xml:space="preserve"> and </w:t>
      </w:r>
      <w:r w:rsidR="00C92CE5" w:rsidRPr="0043387C">
        <w:rPr>
          <w:rFonts w:ascii="HelveticaNeueLT Std" w:hAnsi="HelveticaNeueLT Std" w:cs="Arial"/>
          <w:szCs w:val="20"/>
        </w:rPr>
        <w:t>leader in the clinical application of amniotic membrane and umbilical cord-based products</w:t>
      </w:r>
      <w:r w:rsidRPr="0043387C">
        <w:rPr>
          <w:rFonts w:ascii="HelveticaNeueLT Std" w:hAnsi="HelveticaNeueLT Std" w:cs="Arial"/>
          <w:szCs w:val="20"/>
        </w:rPr>
        <w:t xml:space="preserve">, announced today </w:t>
      </w:r>
      <w:r w:rsidR="00627FE1">
        <w:rPr>
          <w:rFonts w:ascii="HelveticaNeueLT Std" w:hAnsi="HelveticaNeueLT Std" w:cs="Arial"/>
          <w:szCs w:val="20"/>
        </w:rPr>
        <w:t>the results from its</w:t>
      </w:r>
      <w:r w:rsidR="00833C1C">
        <w:rPr>
          <w:rFonts w:ascii="HelveticaNeueLT Std" w:hAnsi="HelveticaNeueLT Std" w:cs="Arial"/>
          <w:szCs w:val="20"/>
        </w:rPr>
        <w:t xml:space="preserve"> successfully completed Phase 2</w:t>
      </w:r>
      <w:r w:rsidR="003E473E" w:rsidRPr="0043387C">
        <w:rPr>
          <w:rFonts w:ascii="HelveticaNeueLT Std" w:hAnsi="HelveticaNeueLT Std" w:cs="Arial"/>
          <w:szCs w:val="20"/>
        </w:rPr>
        <w:t xml:space="preserve"> </w:t>
      </w:r>
      <w:r w:rsidR="00203317" w:rsidRPr="0043387C">
        <w:rPr>
          <w:rFonts w:ascii="HelveticaNeueLT Std" w:hAnsi="HelveticaNeueLT Std" w:cs="Arial"/>
          <w:szCs w:val="20"/>
        </w:rPr>
        <w:t>pilot trial</w:t>
      </w:r>
      <w:r w:rsidR="003E473E" w:rsidRPr="0043387C">
        <w:rPr>
          <w:rFonts w:ascii="HelveticaNeueLT Std" w:hAnsi="HelveticaNeueLT Std" w:cs="Arial"/>
          <w:szCs w:val="20"/>
        </w:rPr>
        <w:t xml:space="preserve"> of TTAX01 cryopreserved human umbilical cord </w:t>
      </w:r>
      <w:r w:rsidR="00D4604D" w:rsidRPr="0043387C">
        <w:rPr>
          <w:rFonts w:ascii="HelveticaNeueLT Std" w:hAnsi="HelveticaNeueLT Std" w:cs="Arial"/>
          <w:szCs w:val="20"/>
        </w:rPr>
        <w:t>for use in complex, non-healing diabetic foot ulcers</w:t>
      </w:r>
      <w:r w:rsidR="00C57F7F" w:rsidRPr="0043387C">
        <w:rPr>
          <w:rFonts w:ascii="HelveticaNeueLT Std" w:hAnsi="HelveticaNeueLT Std" w:cs="Arial"/>
          <w:szCs w:val="20"/>
        </w:rPr>
        <w:t xml:space="preserve"> (DFUs) </w:t>
      </w:r>
      <w:r w:rsidR="00477E28">
        <w:rPr>
          <w:rFonts w:ascii="HelveticaNeueLT Std" w:hAnsi="HelveticaNeueLT Std" w:cs="Arial"/>
          <w:szCs w:val="20"/>
        </w:rPr>
        <w:t>at</w:t>
      </w:r>
      <w:r w:rsidR="00D4604D" w:rsidRPr="0043387C">
        <w:rPr>
          <w:rFonts w:ascii="HelveticaNeueLT Std" w:hAnsi="HelveticaNeueLT Std" w:cs="Arial"/>
          <w:szCs w:val="20"/>
        </w:rPr>
        <w:t xml:space="preserve"> the </w:t>
      </w:r>
      <w:hyperlink r:id="rId10" w:history="1">
        <w:r w:rsidRPr="0043387C">
          <w:rPr>
            <w:rStyle w:val="Hyperlink"/>
            <w:rFonts w:ascii="HelveticaNeueLT Std" w:hAnsi="HelveticaNeueLT Std" w:cs="Arial"/>
            <w:szCs w:val="20"/>
          </w:rPr>
          <w:t>Symposium on Advanced Wound Care (SAWC)</w:t>
        </w:r>
      </w:hyperlink>
      <w:r w:rsidR="008E7C43" w:rsidRPr="0043387C">
        <w:rPr>
          <w:rStyle w:val="Hyperlink"/>
          <w:rFonts w:ascii="HelveticaNeueLT Std" w:hAnsi="HelveticaNeueLT Std" w:cs="Arial"/>
          <w:szCs w:val="20"/>
        </w:rPr>
        <w:t xml:space="preserve"> Spring Meeting</w:t>
      </w:r>
      <w:r w:rsidR="008E7C43" w:rsidRPr="0043387C">
        <w:rPr>
          <w:rFonts w:ascii="HelveticaNeueLT Std" w:hAnsi="HelveticaNeueLT Std" w:cs="Arial"/>
          <w:szCs w:val="20"/>
        </w:rPr>
        <w:t xml:space="preserve"> in San Antonio, TX.</w:t>
      </w:r>
      <w:r w:rsidR="00CD0C7B">
        <w:rPr>
          <w:rFonts w:ascii="HelveticaNeueLT Std" w:hAnsi="HelveticaNeueLT Std" w:cs="Arial"/>
          <w:szCs w:val="20"/>
        </w:rPr>
        <w:t xml:space="preserve"> </w:t>
      </w:r>
    </w:p>
    <w:p w14:paraId="5E60DB70" w14:textId="77777777" w:rsidR="00CD0C7B" w:rsidRDefault="00CD0C7B" w:rsidP="008C3AFE">
      <w:pPr>
        <w:spacing w:after="0" w:line="240" w:lineRule="auto"/>
        <w:rPr>
          <w:rStyle w:val="Hyperlink"/>
          <w:rFonts w:ascii="HelveticaNeueLT Std" w:hAnsi="HelveticaNeueLT Std" w:cs="Arial"/>
          <w:szCs w:val="20"/>
        </w:rPr>
      </w:pPr>
    </w:p>
    <w:p w14:paraId="55F96B65" w14:textId="53761E01" w:rsidR="00CB4081" w:rsidRDefault="005A3BF9" w:rsidP="00692D93">
      <w:pPr>
        <w:spacing w:after="0" w:line="240" w:lineRule="auto"/>
        <w:rPr>
          <w:rFonts w:ascii="HelveticaNeueLT Std" w:hAnsi="HelveticaNeueLT Std" w:cs="Arial"/>
          <w:szCs w:val="20"/>
        </w:rPr>
      </w:pPr>
      <w:hyperlink r:id="rId11" w:history="1">
        <w:r w:rsidR="0034386B" w:rsidRPr="00B539E6">
          <w:rPr>
            <w:rStyle w:val="Hyperlink"/>
            <w:rFonts w:ascii="HelveticaNeueLT Std" w:hAnsi="HelveticaNeueLT Std" w:cs="Arial"/>
            <w:szCs w:val="20"/>
          </w:rPr>
          <w:t>Herbert B. Slade, M.D.</w:t>
        </w:r>
      </w:hyperlink>
      <w:r w:rsidR="0034386B" w:rsidRPr="00B539E6">
        <w:rPr>
          <w:rFonts w:ascii="HelveticaNeueLT Std" w:hAnsi="HelveticaNeueLT Std" w:cs="Arial"/>
          <w:szCs w:val="20"/>
        </w:rPr>
        <w:t>, Chief Medical Officer for TissueTech</w:t>
      </w:r>
      <w:r w:rsidR="000D42AF">
        <w:rPr>
          <w:rFonts w:ascii="HelveticaNeueLT Std" w:hAnsi="HelveticaNeueLT Std" w:cs="Arial"/>
          <w:szCs w:val="20"/>
        </w:rPr>
        <w:t>, presented the trial results as part</w:t>
      </w:r>
      <w:r w:rsidR="003434DB">
        <w:rPr>
          <w:rFonts w:ascii="HelveticaNeueLT Std" w:hAnsi="HelveticaNeueLT Std" w:cs="Arial"/>
          <w:szCs w:val="20"/>
        </w:rPr>
        <w:t xml:space="preserve"> </w:t>
      </w:r>
      <w:r w:rsidR="000D42AF">
        <w:rPr>
          <w:rFonts w:ascii="HelveticaNeueLT Std" w:hAnsi="HelveticaNeueLT Std" w:cs="Arial"/>
          <w:szCs w:val="20"/>
        </w:rPr>
        <w:t xml:space="preserve">of the </w:t>
      </w:r>
      <w:r w:rsidR="00681916">
        <w:rPr>
          <w:rFonts w:ascii="HelveticaNeueLT Std" w:hAnsi="HelveticaNeueLT Std" w:cs="Arial"/>
          <w:szCs w:val="20"/>
        </w:rPr>
        <w:t>oral abstract presentations</w:t>
      </w:r>
      <w:r w:rsidR="002103E4">
        <w:rPr>
          <w:rFonts w:ascii="HelveticaNeueLT Std" w:hAnsi="HelveticaNeueLT Std" w:cs="Arial"/>
          <w:szCs w:val="20"/>
        </w:rPr>
        <w:t xml:space="preserve">. </w:t>
      </w:r>
      <w:r w:rsidR="00CB4081">
        <w:rPr>
          <w:rFonts w:ascii="HelveticaNeueLT Std" w:hAnsi="HelveticaNeueLT Std" w:cs="Arial"/>
          <w:szCs w:val="20"/>
        </w:rPr>
        <w:t xml:space="preserve">The trial, titled </w:t>
      </w:r>
      <w:hyperlink r:id="rId12" w:history="1">
        <w:r w:rsidR="008E3881" w:rsidRPr="008E3881">
          <w:rPr>
            <w:rStyle w:val="Hyperlink"/>
            <w:rFonts w:ascii="HelveticaNeueLT Std" w:hAnsi="HelveticaNeueLT Std" w:cs="Arial"/>
            <w:szCs w:val="20"/>
          </w:rPr>
          <w:t>Phase 2 Pilot Trial of Subjects With Complex Non-healing Diabetic Foot Ulcers Treated With Standard Care Plus Cryopreserved Umbilical Cord Allograft (TTAX01)</w:t>
        </w:r>
        <w:r w:rsidR="00656663">
          <w:rPr>
            <w:rStyle w:val="Hyperlink"/>
            <w:rFonts w:ascii="HelveticaNeueLT Std" w:hAnsi="HelveticaNeueLT Std" w:cs="Arial"/>
            <w:szCs w:val="20"/>
          </w:rPr>
          <w:t>,</w:t>
        </w:r>
        <w:r w:rsidR="003434DB">
          <w:rPr>
            <w:rStyle w:val="Hyperlink"/>
            <w:rFonts w:ascii="HelveticaNeueLT Std" w:hAnsi="HelveticaNeueLT Std" w:cs="Arial"/>
            <w:szCs w:val="20"/>
          </w:rPr>
          <w:t xml:space="preserve"> </w:t>
        </w:r>
      </w:hyperlink>
      <w:r w:rsidR="003434DB">
        <w:rPr>
          <w:rFonts w:ascii="HelveticaNeueLT Std" w:hAnsi="HelveticaNeueLT Std" w:cs="Arial"/>
          <w:szCs w:val="20"/>
        </w:rPr>
        <w:t>included the primary outcome of complete wound healing</w:t>
      </w:r>
      <w:r w:rsidR="000B6E64">
        <w:rPr>
          <w:rFonts w:ascii="HelveticaNeueLT Std" w:hAnsi="HelveticaNeueLT Std" w:cs="Arial"/>
          <w:szCs w:val="20"/>
        </w:rPr>
        <w:t xml:space="preserve"> over a 16-week period and secondary outcome measures </w:t>
      </w:r>
      <w:r w:rsidR="00AD6AF8">
        <w:rPr>
          <w:rFonts w:ascii="HelveticaNeueLT Std" w:hAnsi="HelveticaNeueLT Std" w:cs="Arial"/>
          <w:szCs w:val="20"/>
        </w:rPr>
        <w:t>of</w:t>
      </w:r>
      <w:r w:rsidR="000B6E64">
        <w:rPr>
          <w:rFonts w:ascii="HelveticaNeueLT Std" w:hAnsi="HelveticaNeueLT Std" w:cs="Arial"/>
          <w:szCs w:val="20"/>
        </w:rPr>
        <w:t xml:space="preserve"> time to healing, rate of wound closure</w:t>
      </w:r>
      <w:r w:rsidR="00EC7AA8">
        <w:rPr>
          <w:rFonts w:ascii="HelveticaNeueLT Std" w:hAnsi="HelveticaNeueLT Std" w:cs="Arial"/>
          <w:szCs w:val="20"/>
        </w:rPr>
        <w:t xml:space="preserve">, </w:t>
      </w:r>
      <w:r w:rsidR="00692D93">
        <w:rPr>
          <w:rFonts w:ascii="HelveticaNeueLT Std" w:hAnsi="HelveticaNeueLT Std" w:cs="Arial"/>
          <w:szCs w:val="20"/>
        </w:rPr>
        <w:t>healing in those with confirmed osteomyelitis,</w:t>
      </w:r>
      <w:r w:rsidR="00BB0860">
        <w:rPr>
          <w:rFonts w:ascii="HelveticaNeueLT Std" w:hAnsi="HelveticaNeueLT Std" w:cs="Arial"/>
          <w:szCs w:val="20"/>
        </w:rPr>
        <w:t xml:space="preserve"> limb amputation</w:t>
      </w:r>
      <w:r w:rsidR="00506437">
        <w:rPr>
          <w:rFonts w:ascii="HelveticaNeueLT Std" w:hAnsi="HelveticaNeueLT Std" w:cs="Arial"/>
          <w:szCs w:val="20"/>
        </w:rPr>
        <w:t>s required</w:t>
      </w:r>
      <w:r w:rsidR="00D74202">
        <w:rPr>
          <w:rFonts w:ascii="HelveticaNeueLT Std" w:hAnsi="HelveticaNeueLT Std" w:cs="Arial"/>
          <w:szCs w:val="20"/>
        </w:rPr>
        <w:t>,</w:t>
      </w:r>
      <w:r w:rsidR="00BB0860">
        <w:rPr>
          <w:rFonts w:ascii="HelveticaNeueLT Std" w:hAnsi="HelveticaNeueLT Std" w:cs="Arial"/>
          <w:szCs w:val="20"/>
        </w:rPr>
        <w:t xml:space="preserve"> and other ulcer-related complications</w:t>
      </w:r>
      <w:r w:rsidR="00B917EB">
        <w:rPr>
          <w:rFonts w:ascii="HelveticaNeueLT Std" w:hAnsi="HelveticaNeueLT Std" w:cs="Arial"/>
          <w:szCs w:val="20"/>
        </w:rPr>
        <w:t>.</w:t>
      </w:r>
    </w:p>
    <w:p w14:paraId="0C877D68" w14:textId="068735AC" w:rsidR="00506437" w:rsidRDefault="00506437" w:rsidP="008C3AFE">
      <w:pPr>
        <w:spacing w:after="0" w:line="240" w:lineRule="auto"/>
        <w:rPr>
          <w:rFonts w:ascii="HelveticaNeueLT Std" w:hAnsi="HelveticaNeueLT Std" w:cs="Arial"/>
          <w:szCs w:val="20"/>
        </w:rPr>
      </w:pPr>
    </w:p>
    <w:p w14:paraId="2DB2C6CA" w14:textId="39E48B34" w:rsidR="00506437" w:rsidRDefault="00506437" w:rsidP="00692D93">
      <w:pPr>
        <w:spacing w:after="0" w:line="240" w:lineRule="auto"/>
        <w:rPr>
          <w:rFonts w:ascii="HelveticaNeueLT Std" w:hAnsi="HelveticaNeueLT Std" w:cs="Arial"/>
          <w:szCs w:val="20"/>
        </w:rPr>
      </w:pPr>
      <w:r>
        <w:rPr>
          <w:rFonts w:ascii="HelveticaNeueLT Std" w:hAnsi="HelveticaNeueLT Std" w:cs="Arial"/>
          <w:szCs w:val="20"/>
        </w:rPr>
        <w:t>Results showed that 50% of the Wagner 3 and 4 DFUs</w:t>
      </w:r>
      <w:r w:rsidR="00A87CEB">
        <w:rPr>
          <w:rFonts w:ascii="HelveticaNeueLT Std" w:hAnsi="HelveticaNeueLT Std" w:cs="Arial"/>
          <w:szCs w:val="20"/>
        </w:rPr>
        <w:t xml:space="preserve"> were healed within the 16-week trial period, followed by a one-month confirmation perio</w:t>
      </w:r>
      <w:r>
        <w:rPr>
          <w:rFonts w:ascii="HelveticaNeueLT Std" w:hAnsi="HelveticaNeueLT Std" w:cs="Arial"/>
          <w:szCs w:val="20"/>
        </w:rPr>
        <w:t xml:space="preserve">d, </w:t>
      </w:r>
      <w:r w:rsidR="00692D93">
        <w:rPr>
          <w:rFonts w:ascii="HelveticaNeueLT Std" w:hAnsi="HelveticaNeueLT Std" w:cs="Arial"/>
          <w:szCs w:val="20"/>
        </w:rPr>
        <w:t>including 50% of DFU with biopsy-confirmed osteomyelitis.</w:t>
      </w:r>
      <w:r>
        <w:rPr>
          <w:rFonts w:ascii="HelveticaNeueLT Std" w:hAnsi="HelveticaNeueLT Std" w:cs="Arial"/>
          <w:szCs w:val="20"/>
        </w:rPr>
        <w:t xml:space="preserve"> On average, time to closure was 12.78 weeks. By the end of the study, an additional three patients had achieved initial closure and an additional two patients had a 99% reduction in the DFU area. Additional closures </w:t>
      </w:r>
      <w:r w:rsidR="00692D93">
        <w:rPr>
          <w:rFonts w:ascii="HelveticaNeueLT Std" w:hAnsi="HelveticaNeueLT Std" w:cs="Arial"/>
          <w:szCs w:val="20"/>
        </w:rPr>
        <w:t>have been</w:t>
      </w:r>
      <w:r>
        <w:rPr>
          <w:rFonts w:ascii="HelveticaNeueLT Std" w:hAnsi="HelveticaNeueLT Std" w:cs="Arial"/>
          <w:szCs w:val="20"/>
        </w:rPr>
        <w:t xml:space="preserve"> documented during </w:t>
      </w:r>
      <w:r w:rsidR="00692D93">
        <w:rPr>
          <w:rFonts w:ascii="HelveticaNeueLT Std" w:hAnsi="HelveticaNeueLT Std" w:cs="Arial"/>
          <w:szCs w:val="20"/>
        </w:rPr>
        <w:t xml:space="preserve">an ongoing </w:t>
      </w:r>
      <w:r>
        <w:rPr>
          <w:rFonts w:ascii="HelveticaNeueLT Std" w:hAnsi="HelveticaNeueLT Std" w:cs="Arial"/>
          <w:szCs w:val="20"/>
        </w:rPr>
        <w:t xml:space="preserve">follow-up </w:t>
      </w:r>
      <w:r w:rsidR="00692D93">
        <w:rPr>
          <w:rFonts w:ascii="HelveticaNeueLT Std" w:hAnsi="HelveticaNeueLT Std" w:cs="Arial"/>
          <w:szCs w:val="20"/>
        </w:rPr>
        <w:t xml:space="preserve">study </w:t>
      </w:r>
      <w:r>
        <w:rPr>
          <w:rFonts w:ascii="HelveticaNeueLT Std" w:hAnsi="HelveticaNeueLT Std" w:cs="Arial"/>
          <w:szCs w:val="20"/>
        </w:rPr>
        <w:t xml:space="preserve">with 83% of DFUs closed to-date. No major amputations were required during the study. </w:t>
      </w:r>
    </w:p>
    <w:p w14:paraId="579C3A39" w14:textId="77777777" w:rsidR="00ED0EC8" w:rsidRDefault="00ED0EC8" w:rsidP="008C3AFE">
      <w:pPr>
        <w:spacing w:after="0" w:line="240" w:lineRule="auto"/>
        <w:rPr>
          <w:rFonts w:ascii="HelveticaNeueLT Std" w:hAnsi="HelveticaNeueLT Std" w:cs="Arial"/>
          <w:szCs w:val="20"/>
        </w:rPr>
      </w:pPr>
    </w:p>
    <w:p w14:paraId="64B03AED" w14:textId="73C8A02B" w:rsidR="001C6D81" w:rsidRDefault="003C2D93" w:rsidP="008C3AFE">
      <w:pPr>
        <w:spacing w:after="0" w:line="240" w:lineRule="auto"/>
        <w:rPr>
          <w:rFonts w:ascii="HelveticaNeueLT Std" w:hAnsi="HelveticaNeueLT Std" w:cs="Arial"/>
          <w:szCs w:val="20"/>
        </w:rPr>
      </w:pPr>
      <w:r>
        <w:rPr>
          <w:rFonts w:ascii="HelveticaNeueLT Std" w:hAnsi="HelveticaNeueLT Std" w:cs="Arial"/>
          <w:szCs w:val="20"/>
        </w:rPr>
        <w:t>C</w:t>
      </w:r>
      <w:r w:rsidR="003741BA">
        <w:rPr>
          <w:rFonts w:ascii="HelveticaNeueLT Std" w:hAnsi="HelveticaNeueLT Std" w:cs="Arial"/>
          <w:szCs w:val="20"/>
        </w:rPr>
        <w:t>onducted a</w:t>
      </w:r>
      <w:r w:rsidR="003741BA" w:rsidRPr="00226B7C">
        <w:rPr>
          <w:rFonts w:ascii="HelveticaNeueLT Std" w:hAnsi="HelveticaNeueLT Std" w:cs="Arial"/>
          <w:szCs w:val="20"/>
        </w:rPr>
        <w:t>t 10</w:t>
      </w:r>
      <w:r w:rsidR="003741BA">
        <w:rPr>
          <w:rFonts w:ascii="HelveticaNeueLT Std" w:hAnsi="HelveticaNeueLT Std" w:cs="Arial"/>
          <w:szCs w:val="20"/>
        </w:rPr>
        <w:t xml:space="preserve"> centers throughout the U.S.</w:t>
      </w:r>
      <w:r>
        <w:rPr>
          <w:rFonts w:ascii="HelveticaNeueLT Std" w:hAnsi="HelveticaNeueLT Std" w:cs="Arial"/>
          <w:szCs w:val="20"/>
        </w:rPr>
        <w:t>, the trial</w:t>
      </w:r>
      <w:r w:rsidR="003741BA">
        <w:rPr>
          <w:rFonts w:ascii="HelveticaNeueLT Std" w:hAnsi="HelveticaNeueLT Std" w:cs="Arial"/>
          <w:szCs w:val="20"/>
        </w:rPr>
        <w:t xml:space="preserve"> </w:t>
      </w:r>
      <w:r w:rsidR="001C6D81">
        <w:rPr>
          <w:rFonts w:ascii="HelveticaNeueLT Std" w:hAnsi="HelveticaNeueLT Std" w:cs="Arial"/>
          <w:szCs w:val="20"/>
        </w:rPr>
        <w:t>enrolled a total of 32 patients with Wagner Grade 3 and 4 DFUs whose wounds extend</w:t>
      </w:r>
      <w:r w:rsidR="00350C7F">
        <w:rPr>
          <w:rFonts w:ascii="HelveticaNeueLT Std" w:hAnsi="HelveticaNeueLT Std" w:cs="Arial"/>
          <w:szCs w:val="20"/>
        </w:rPr>
        <w:t>ed</w:t>
      </w:r>
      <w:r w:rsidR="001C6D81">
        <w:rPr>
          <w:rFonts w:ascii="HelveticaNeueLT Std" w:hAnsi="HelveticaNeueLT Std" w:cs="Arial"/>
          <w:szCs w:val="20"/>
        </w:rPr>
        <w:t xml:space="preserve"> to the muscle, fascia or bone, and with clinical and radiographic evidence of underlying osteomyelitis. </w:t>
      </w:r>
      <w:r w:rsidR="00A56452">
        <w:rPr>
          <w:rFonts w:ascii="HelveticaNeueLT Std" w:hAnsi="HelveticaNeueLT Std" w:cs="Arial"/>
          <w:szCs w:val="20"/>
        </w:rPr>
        <w:t>DFUs</w:t>
      </w:r>
      <w:r w:rsidR="00415F7A">
        <w:rPr>
          <w:rFonts w:ascii="HelveticaNeueLT Std" w:hAnsi="HelveticaNeueLT Std" w:cs="Arial"/>
          <w:szCs w:val="20"/>
        </w:rPr>
        <w:t xml:space="preserve"> </w:t>
      </w:r>
      <w:r w:rsidR="00084319">
        <w:rPr>
          <w:rFonts w:ascii="HelveticaNeueLT Std" w:hAnsi="HelveticaNeueLT Std" w:cs="Arial"/>
          <w:szCs w:val="20"/>
        </w:rPr>
        <w:t>ranged</w:t>
      </w:r>
      <w:r w:rsidR="00415F7A">
        <w:rPr>
          <w:rFonts w:ascii="HelveticaNeueLT Std" w:hAnsi="HelveticaNeueLT Std" w:cs="Arial"/>
          <w:szCs w:val="20"/>
        </w:rPr>
        <w:t xml:space="preserve"> in size from 1.1 cm</w:t>
      </w:r>
      <w:r w:rsidR="00415F7A" w:rsidRPr="00415F7A">
        <w:rPr>
          <w:rFonts w:ascii="HelveticaNeueLT Std" w:hAnsi="HelveticaNeueLT Std" w:cs="Arial"/>
          <w:szCs w:val="20"/>
          <w:vertAlign w:val="superscript"/>
        </w:rPr>
        <w:t>2</w:t>
      </w:r>
      <w:r w:rsidR="00415F7A">
        <w:rPr>
          <w:rFonts w:ascii="HelveticaNeueLT Std" w:hAnsi="HelveticaNeueLT Std" w:cs="Arial"/>
          <w:szCs w:val="20"/>
        </w:rPr>
        <w:t xml:space="preserve"> – </w:t>
      </w:r>
      <w:r w:rsidR="00183BBA">
        <w:rPr>
          <w:rFonts w:ascii="HelveticaNeueLT Std" w:hAnsi="HelveticaNeueLT Std" w:cs="Arial"/>
          <w:szCs w:val="20"/>
        </w:rPr>
        <w:t>3</w:t>
      </w:r>
      <w:r w:rsidR="009A5CE4">
        <w:rPr>
          <w:rFonts w:ascii="HelveticaNeueLT Std" w:hAnsi="HelveticaNeueLT Std" w:cs="Arial"/>
          <w:szCs w:val="20"/>
        </w:rPr>
        <w:t>2.8</w:t>
      </w:r>
      <w:r w:rsidR="00415F7A">
        <w:rPr>
          <w:rFonts w:ascii="HelveticaNeueLT Std" w:hAnsi="HelveticaNeueLT Std" w:cs="Arial"/>
          <w:szCs w:val="20"/>
        </w:rPr>
        <w:t xml:space="preserve"> cm</w:t>
      </w:r>
      <w:r w:rsidR="00415F7A" w:rsidRPr="00415F7A">
        <w:rPr>
          <w:rFonts w:ascii="HelveticaNeueLT Std" w:hAnsi="HelveticaNeueLT Std" w:cs="Arial"/>
          <w:szCs w:val="20"/>
          <w:vertAlign w:val="superscript"/>
        </w:rPr>
        <w:t>2</w:t>
      </w:r>
      <w:r w:rsidR="0073623E">
        <w:rPr>
          <w:rFonts w:ascii="HelveticaNeueLT Std" w:hAnsi="HelveticaNeueLT Std" w:cs="Arial"/>
          <w:szCs w:val="20"/>
        </w:rPr>
        <w:t xml:space="preserve"> at baseline</w:t>
      </w:r>
      <w:r w:rsidR="00183BBA">
        <w:rPr>
          <w:rFonts w:ascii="HelveticaNeueLT Std" w:hAnsi="HelveticaNeueLT Std" w:cs="Arial"/>
          <w:szCs w:val="20"/>
        </w:rPr>
        <w:t xml:space="preserve">. </w:t>
      </w:r>
      <w:r w:rsidR="00084319">
        <w:rPr>
          <w:rFonts w:ascii="HelveticaNeueLT Std" w:hAnsi="HelveticaNeueLT Std" w:cs="Arial"/>
          <w:szCs w:val="20"/>
        </w:rPr>
        <w:t>All patients enrolled had DFUs that extended into the bone or join</w:t>
      </w:r>
      <w:r w:rsidR="006F2EE2">
        <w:rPr>
          <w:rFonts w:ascii="HelveticaNeueLT Std" w:hAnsi="HelveticaNeueLT Std" w:cs="Arial"/>
          <w:szCs w:val="20"/>
        </w:rPr>
        <w:t>t</w:t>
      </w:r>
      <w:r w:rsidR="00264BDC">
        <w:rPr>
          <w:rFonts w:ascii="HelveticaNeueLT Std" w:hAnsi="HelveticaNeueLT Std" w:cs="Arial"/>
          <w:szCs w:val="20"/>
        </w:rPr>
        <w:t xml:space="preserve"> with deep infections and loss of sensation. </w:t>
      </w:r>
    </w:p>
    <w:p w14:paraId="4557EBF0" w14:textId="77777777" w:rsidR="00C638ED" w:rsidRDefault="00C638ED" w:rsidP="00C638ED">
      <w:pPr>
        <w:spacing w:after="0" w:line="240" w:lineRule="auto"/>
        <w:rPr>
          <w:rFonts w:ascii="HelveticaNeueLT Std" w:hAnsi="HelveticaNeueLT Std" w:cs="Arial"/>
          <w:szCs w:val="20"/>
        </w:rPr>
      </w:pPr>
    </w:p>
    <w:p w14:paraId="59033C04" w14:textId="2EC87E8C" w:rsidR="00C638ED" w:rsidRDefault="005A3BF9" w:rsidP="00C638ED">
      <w:pPr>
        <w:spacing w:after="0" w:line="240" w:lineRule="auto"/>
        <w:rPr>
          <w:rFonts w:ascii="HelveticaNeueLT Std" w:hAnsi="HelveticaNeueLT Std" w:cs="Arial"/>
          <w:szCs w:val="20"/>
        </w:rPr>
      </w:pPr>
      <w:hyperlink r:id="rId13" w:history="1">
        <w:r w:rsidR="00C638ED" w:rsidRPr="0043387C">
          <w:rPr>
            <w:rStyle w:val="Hyperlink"/>
            <w:rFonts w:ascii="HelveticaNeueLT Std" w:hAnsi="HelveticaNeueLT Std" w:cs="Arial"/>
            <w:szCs w:val="20"/>
          </w:rPr>
          <w:t>William A. Marston, MD</w:t>
        </w:r>
      </w:hyperlink>
      <w:r w:rsidR="00C638ED" w:rsidRPr="0043387C">
        <w:rPr>
          <w:rFonts w:ascii="HelveticaNeueLT Std" w:hAnsi="HelveticaNeueLT Std" w:cs="Arial"/>
          <w:szCs w:val="20"/>
        </w:rPr>
        <w:t>, lead investigator for the trial</w:t>
      </w:r>
      <w:r w:rsidR="00C638ED">
        <w:rPr>
          <w:rFonts w:ascii="HelveticaNeueLT Std" w:hAnsi="HelveticaNeueLT Std" w:cs="Arial"/>
          <w:szCs w:val="20"/>
        </w:rPr>
        <w:t>, noted the significance of such high healing rates for Wagner 3 and 4 DFUs, which currently have no FD</w:t>
      </w:r>
      <w:r w:rsidR="00030E32">
        <w:rPr>
          <w:rFonts w:ascii="HelveticaNeueLT Std" w:hAnsi="HelveticaNeueLT Std" w:cs="Arial"/>
          <w:szCs w:val="20"/>
        </w:rPr>
        <w:t>A-c</w:t>
      </w:r>
      <w:r w:rsidR="00C638ED">
        <w:rPr>
          <w:rFonts w:ascii="HelveticaNeueLT Std" w:hAnsi="HelveticaNeueLT Std" w:cs="Arial"/>
          <w:szCs w:val="20"/>
        </w:rPr>
        <w:t xml:space="preserve">leared products indicated for their treatment. </w:t>
      </w:r>
    </w:p>
    <w:p w14:paraId="6C223985" w14:textId="77777777" w:rsidR="00C638ED" w:rsidRDefault="00C638ED" w:rsidP="00C638ED">
      <w:pPr>
        <w:spacing w:after="0" w:line="240" w:lineRule="auto"/>
        <w:rPr>
          <w:rFonts w:ascii="HelveticaNeueLT Std" w:hAnsi="HelveticaNeueLT Std" w:cs="Arial"/>
          <w:szCs w:val="20"/>
        </w:rPr>
      </w:pPr>
    </w:p>
    <w:p w14:paraId="48F09DC0" w14:textId="7BF7A314" w:rsidR="009C72D6" w:rsidRDefault="00C638ED" w:rsidP="008C3AFE">
      <w:pPr>
        <w:spacing w:after="0" w:line="240" w:lineRule="auto"/>
        <w:rPr>
          <w:rFonts w:ascii="HelveticaNeueLT Std" w:hAnsi="HelveticaNeueLT Std" w:cs="Arial"/>
          <w:szCs w:val="20"/>
        </w:rPr>
      </w:pPr>
      <w:r>
        <w:rPr>
          <w:rFonts w:ascii="HelveticaNeueLT Std" w:hAnsi="HelveticaNeueLT Std" w:cs="Arial"/>
          <w:szCs w:val="20"/>
        </w:rPr>
        <w:t xml:space="preserve">“This is an underserved patient population that </w:t>
      </w:r>
      <w:r w:rsidR="005A3BF9">
        <w:rPr>
          <w:rFonts w:ascii="HelveticaNeueLT Std" w:hAnsi="HelveticaNeueLT Std" w:cs="Arial"/>
          <w:szCs w:val="20"/>
        </w:rPr>
        <w:t>is at high risk for</w:t>
      </w:r>
      <w:bookmarkStart w:id="0" w:name="_GoBack"/>
      <w:bookmarkEnd w:id="0"/>
      <w:r>
        <w:rPr>
          <w:rFonts w:ascii="HelveticaNeueLT Std" w:hAnsi="HelveticaNeueLT Std" w:cs="Arial"/>
          <w:szCs w:val="20"/>
        </w:rPr>
        <w:t xml:space="preserve"> lower-limb amputations,” Dr. Marston added. “Five-year mortality rates are 60% once a diabetic patient undergoes leg </w:t>
      </w:r>
      <w:r>
        <w:rPr>
          <w:rFonts w:ascii="HelveticaNeueLT Std" w:hAnsi="HelveticaNeueLT Std" w:cs="Arial"/>
          <w:szCs w:val="20"/>
        </w:rPr>
        <w:lastRenderedPageBreak/>
        <w:t>amputation, which is more than the 5-year mortality rate for all cancer</w:t>
      </w:r>
      <w:r w:rsidR="007716CF">
        <w:rPr>
          <w:rFonts w:ascii="HelveticaNeueLT Std" w:hAnsi="HelveticaNeueLT Std" w:cs="Arial"/>
          <w:szCs w:val="20"/>
        </w:rPr>
        <w:t>s</w:t>
      </w:r>
      <w:r>
        <w:rPr>
          <w:rFonts w:ascii="HelveticaNeueLT Std" w:hAnsi="HelveticaNeueLT Std" w:cs="Arial"/>
          <w:szCs w:val="20"/>
        </w:rPr>
        <w:t xml:space="preserve"> combined. Th</w:t>
      </w:r>
      <w:r w:rsidR="007716CF">
        <w:rPr>
          <w:rFonts w:ascii="HelveticaNeueLT Std" w:hAnsi="HelveticaNeueLT Std" w:cs="Arial"/>
          <w:szCs w:val="20"/>
        </w:rPr>
        <w:t>is</w:t>
      </w:r>
      <w:r>
        <w:rPr>
          <w:rFonts w:ascii="HelveticaNeueLT Std" w:hAnsi="HelveticaNeueLT Std" w:cs="Arial"/>
          <w:szCs w:val="20"/>
        </w:rPr>
        <w:t xml:space="preserve"> is a true opportunity to pr</w:t>
      </w:r>
      <w:r w:rsidR="00197C75">
        <w:rPr>
          <w:rFonts w:ascii="HelveticaNeueLT Std" w:hAnsi="HelveticaNeueLT Std" w:cs="Arial"/>
          <w:szCs w:val="20"/>
        </w:rPr>
        <w:t xml:space="preserve">ovide an option that </w:t>
      </w:r>
      <w:r w:rsidR="00BB1C31">
        <w:rPr>
          <w:rFonts w:ascii="HelveticaNeueLT Std" w:hAnsi="HelveticaNeueLT Std" w:cs="Arial"/>
          <w:szCs w:val="20"/>
        </w:rPr>
        <w:t>might</w:t>
      </w:r>
      <w:r w:rsidR="00197C75">
        <w:rPr>
          <w:rFonts w:ascii="HelveticaNeueLT Std" w:hAnsi="HelveticaNeueLT Std" w:cs="Arial"/>
          <w:szCs w:val="20"/>
        </w:rPr>
        <w:t xml:space="preserve"> help these</w:t>
      </w:r>
      <w:r>
        <w:rPr>
          <w:rFonts w:ascii="HelveticaNeueLT Std" w:hAnsi="HelveticaNeueLT Std" w:cs="Arial"/>
          <w:szCs w:val="20"/>
        </w:rPr>
        <w:t xml:space="preserve"> patients.”</w:t>
      </w:r>
    </w:p>
    <w:p w14:paraId="33943A76" w14:textId="77777777" w:rsidR="008767F3" w:rsidRDefault="008767F3" w:rsidP="008C3AFE">
      <w:pPr>
        <w:spacing w:after="0" w:line="240" w:lineRule="auto"/>
        <w:rPr>
          <w:rFonts w:ascii="HelveticaNeueLT Std" w:hAnsi="HelveticaNeueLT Std" w:cs="Arial"/>
          <w:szCs w:val="20"/>
        </w:rPr>
      </w:pPr>
    </w:p>
    <w:p w14:paraId="7AD80B17" w14:textId="143D9760" w:rsidR="0087040D" w:rsidRDefault="001213B1" w:rsidP="008C3AFE">
      <w:pPr>
        <w:spacing w:after="0" w:line="240" w:lineRule="auto"/>
        <w:rPr>
          <w:rFonts w:ascii="HelveticaNeueLT Std" w:hAnsi="HelveticaNeueLT Std" w:cs="Arial"/>
          <w:szCs w:val="20"/>
        </w:rPr>
      </w:pPr>
      <w:r>
        <w:rPr>
          <w:rFonts w:ascii="HelveticaNeueLT Std" w:hAnsi="HelveticaNeueLT Std" w:cs="Arial"/>
          <w:szCs w:val="20"/>
        </w:rPr>
        <w:t>Patients enrolled underwent an aggressive surgical debridement at the baseline visit, including biopsies of bone for histology and microbiologic testing at the start and completion of debridement</w:t>
      </w:r>
      <w:r w:rsidR="00A87CEB">
        <w:rPr>
          <w:rFonts w:ascii="HelveticaNeueLT Std" w:hAnsi="HelveticaNeueLT Std" w:cs="Arial"/>
          <w:szCs w:val="20"/>
        </w:rPr>
        <w:t xml:space="preserve"> in conjunction with systemic antibiotics</w:t>
      </w:r>
      <w:r>
        <w:rPr>
          <w:rFonts w:ascii="HelveticaNeueLT Std" w:hAnsi="HelveticaNeueLT Std" w:cs="Arial"/>
          <w:szCs w:val="20"/>
        </w:rPr>
        <w:t xml:space="preserve">. </w:t>
      </w:r>
      <w:r w:rsidR="0087040D">
        <w:rPr>
          <w:rFonts w:ascii="HelveticaNeueLT Std" w:hAnsi="HelveticaNeueLT Std" w:cs="Arial"/>
          <w:szCs w:val="20"/>
        </w:rPr>
        <w:t xml:space="preserve">The TTAX01 cryopreserved human umbilical cord was </w:t>
      </w:r>
      <w:r w:rsidR="003A00A2">
        <w:rPr>
          <w:rFonts w:ascii="HelveticaNeueLT Std" w:hAnsi="HelveticaNeueLT Std" w:cs="Arial"/>
          <w:szCs w:val="20"/>
        </w:rPr>
        <w:t>s</w:t>
      </w:r>
      <w:r w:rsidR="0023474D">
        <w:rPr>
          <w:rFonts w:ascii="HelveticaNeueLT Std" w:hAnsi="HelveticaNeueLT Std" w:cs="Arial"/>
          <w:szCs w:val="20"/>
        </w:rPr>
        <w:t>ecured</w:t>
      </w:r>
      <w:r w:rsidR="003A00A2">
        <w:rPr>
          <w:rFonts w:ascii="HelveticaNeueLT Std" w:hAnsi="HelveticaNeueLT Std" w:cs="Arial"/>
          <w:szCs w:val="20"/>
        </w:rPr>
        <w:t xml:space="preserve"> to the debrided wound bed at baseline</w:t>
      </w:r>
      <w:r w:rsidR="00374A25">
        <w:rPr>
          <w:rFonts w:ascii="HelveticaNeueLT Std" w:hAnsi="HelveticaNeueLT Std" w:cs="Arial"/>
          <w:szCs w:val="20"/>
        </w:rPr>
        <w:t>. For those wounds that did not show signs of healing</w:t>
      </w:r>
      <w:r w:rsidR="00107EFD">
        <w:rPr>
          <w:rFonts w:ascii="HelveticaNeueLT Std" w:hAnsi="HelveticaNeueLT Std" w:cs="Arial"/>
          <w:szCs w:val="20"/>
        </w:rPr>
        <w:t>, a</w:t>
      </w:r>
      <w:r w:rsidR="00374A25">
        <w:rPr>
          <w:rFonts w:ascii="HelveticaNeueLT Std" w:hAnsi="HelveticaNeueLT Std" w:cs="Arial"/>
          <w:szCs w:val="20"/>
        </w:rPr>
        <w:t>n additional application of TTAX01</w:t>
      </w:r>
      <w:r w:rsidR="000665FA">
        <w:rPr>
          <w:rFonts w:ascii="HelveticaNeueLT Std" w:hAnsi="HelveticaNeueLT Std" w:cs="Arial"/>
          <w:szCs w:val="20"/>
        </w:rPr>
        <w:t xml:space="preserve"> </w:t>
      </w:r>
      <w:r w:rsidR="00C534B9">
        <w:rPr>
          <w:rFonts w:ascii="HelveticaNeueLT Std" w:hAnsi="HelveticaNeueLT Std" w:cs="Arial"/>
          <w:szCs w:val="20"/>
        </w:rPr>
        <w:t xml:space="preserve">was applied </w:t>
      </w:r>
      <w:r w:rsidR="000665FA">
        <w:rPr>
          <w:rFonts w:ascii="HelveticaNeueLT Std" w:hAnsi="HelveticaNeueLT Std" w:cs="Arial"/>
          <w:szCs w:val="20"/>
        </w:rPr>
        <w:t>at 4</w:t>
      </w:r>
      <w:r w:rsidR="00300FFB">
        <w:rPr>
          <w:rFonts w:ascii="HelveticaNeueLT Std" w:hAnsi="HelveticaNeueLT Std" w:cs="Arial"/>
          <w:szCs w:val="20"/>
        </w:rPr>
        <w:t>-</w:t>
      </w:r>
      <w:r w:rsidR="000665FA">
        <w:rPr>
          <w:rFonts w:ascii="HelveticaNeueLT Std" w:hAnsi="HelveticaNeueLT Std" w:cs="Arial"/>
          <w:szCs w:val="20"/>
        </w:rPr>
        <w:t xml:space="preserve">week intervals over the </w:t>
      </w:r>
      <w:r w:rsidR="00107EFD">
        <w:rPr>
          <w:rFonts w:ascii="HelveticaNeueLT Std" w:hAnsi="HelveticaNeueLT Std" w:cs="Arial"/>
          <w:szCs w:val="20"/>
        </w:rPr>
        <w:t>16-week</w:t>
      </w:r>
      <w:r w:rsidR="000665FA">
        <w:rPr>
          <w:rFonts w:ascii="HelveticaNeueLT Std" w:hAnsi="HelveticaNeueLT Std" w:cs="Arial"/>
          <w:szCs w:val="20"/>
        </w:rPr>
        <w:t xml:space="preserve"> treatment period.</w:t>
      </w:r>
      <w:r w:rsidR="00EE747F">
        <w:rPr>
          <w:rFonts w:ascii="HelveticaNeueLT Std" w:hAnsi="HelveticaNeueLT Std" w:cs="Arial"/>
          <w:szCs w:val="20"/>
        </w:rPr>
        <w:t xml:space="preserve"> For wounds that showed evidence of healing, additional applications of TTAX01 were withheld, based on observations from retrospective case series and </w:t>
      </w:r>
      <w:r w:rsidR="00B67AA6">
        <w:rPr>
          <w:rFonts w:ascii="HelveticaNeueLT Std" w:hAnsi="HelveticaNeueLT Std" w:cs="Arial"/>
          <w:szCs w:val="20"/>
        </w:rPr>
        <w:t>learnings from the exploratory Amniox RENEW study.</w:t>
      </w:r>
      <w:r w:rsidR="00C43016">
        <w:rPr>
          <w:rFonts w:ascii="HelveticaNeueLT Std" w:hAnsi="HelveticaNeueLT Std" w:cs="Arial"/>
          <w:szCs w:val="20"/>
        </w:rPr>
        <w:t xml:space="preserve"> </w:t>
      </w:r>
      <w:r w:rsidR="003F65C8">
        <w:rPr>
          <w:rFonts w:ascii="HelveticaNeueLT Std" w:hAnsi="HelveticaNeueLT Std" w:cs="Arial"/>
          <w:szCs w:val="20"/>
        </w:rPr>
        <w:t>On</w:t>
      </w:r>
      <w:r w:rsidR="00C43016">
        <w:rPr>
          <w:rFonts w:ascii="HelveticaNeueLT Std" w:hAnsi="HelveticaNeueLT Std" w:cs="Arial"/>
          <w:szCs w:val="20"/>
        </w:rPr>
        <w:t xml:space="preserve"> average</w:t>
      </w:r>
      <w:r w:rsidR="003F65C8">
        <w:rPr>
          <w:rFonts w:ascii="HelveticaNeueLT Std" w:hAnsi="HelveticaNeueLT Std" w:cs="Arial"/>
          <w:szCs w:val="20"/>
        </w:rPr>
        <w:t>,</w:t>
      </w:r>
      <w:r w:rsidR="00C43016">
        <w:rPr>
          <w:rFonts w:ascii="HelveticaNeueLT Std" w:hAnsi="HelveticaNeueLT Std" w:cs="Arial"/>
          <w:szCs w:val="20"/>
        </w:rPr>
        <w:t xml:space="preserve"> 1.5 applications of TTAX01 </w:t>
      </w:r>
      <w:r w:rsidR="007B6F70">
        <w:rPr>
          <w:rFonts w:ascii="HelveticaNeueLT Std" w:hAnsi="HelveticaNeueLT Std" w:cs="Arial"/>
          <w:szCs w:val="20"/>
        </w:rPr>
        <w:t xml:space="preserve">cryopreserved human umbilical cord </w:t>
      </w:r>
      <w:r w:rsidR="00C43016">
        <w:rPr>
          <w:rFonts w:ascii="HelveticaNeueLT Std" w:hAnsi="HelveticaNeueLT Std" w:cs="Arial"/>
          <w:szCs w:val="20"/>
        </w:rPr>
        <w:t>were applied</w:t>
      </w:r>
      <w:r w:rsidR="007B6F70">
        <w:rPr>
          <w:rFonts w:ascii="HelveticaNeueLT Std" w:hAnsi="HelveticaNeueLT Std" w:cs="Arial"/>
          <w:szCs w:val="20"/>
        </w:rPr>
        <w:t xml:space="preserve"> for healing to occur.</w:t>
      </w:r>
    </w:p>
    <w:p w14:paraId="4CB0C8D1" w14:textId="3514C501" w:rsidR="000D227F" w:rsidRDefault="000D227F" w:rsidP="008C3AFE">
      <w:pPr>
        <w:spacing w:after="0" w:line="240" w:lineRule="auto"/>
        <w:rPr>
          <w:rFonts w:ascii="HelveticaNeueLT Std" w:hAnsi="HelveticaNeueLT Std" w:cs="Arial"/>
          <w:szCs w:val="20"/>
        </w:rPr>
      </w:pPr>
    </w:p>
    <w:p w14:paraId="586BA7A7" w14:textId="43C6164E" w:rsidR="005C7D0B" w:rsidRDefault="000D227F" w:rsidP="0023752D">
      <w:pPr>
        <w:spacing w:after="0" w:line="240" w:lineRule="auto"/>
        <w:rPr>
          <w:rFonts w:ascii="HelveticaNeueLT Std" w:hAnsi="HelveticaNeueLT Std" w:cs="Arial"/>
          <w:szCs w:val="20"/>
        </w:rPr>
      </w:pPr>
      <w:r>
        <w:rPr>
          <w:rFonts w:ascii="HelveticaNeueLT Std" w:hAnsi="HelveticaNeueLT Std" w:cs="Arial"/>
          <w:szCs w:val="20"/>
        </w:rPr>
        <w:t>“Our RENEW tri</w:t>
      </w:r>
      <w:r w:rsidR="0023752D">
        <w:rPr>
          <w:rFonts w:ascii="HelveticaNeueLT Std" w:hAnsi="HelveticaNeueLT Std" w:cs="Arial"/>
          <w:szCs w:val="20"/>
        </w:rPr>
        <w:t>a</w:t>
      </w:r>
      <w:r>
        <w:rPr>
          <w:rFonts w:ascii="HelveticaNeueLT Std" w:hAnsi="HelveticaNeueLT Std" w:cs="Arial"/>
          <w:szCs w:val="20"/>
        </w:rPr>
        <w:t>l</w:t>
      </w:r>
      <w:r w:rsidR="00DC277E">
        <w:rPr>
          <w:rFonts w:ascii="HelveticaNeueLT Std" w:hAnsi="HelveticaNeueLT Std" w:cs="Arial"/>
          <w:szCs w:val="20"/>
        </w:rPr>
        <w:t xml:space="preserve"> </w:t>
      </w:r>
      <w:r w:rsidR="0023474D">
        <w:rPr>
          <w:rFonts w:ascii="HelveticaNeueLT Std" w:hAnsi="HelveticaNeueLT Std" w:cs="Arial"/>
          <w:szCs w:val="20"/>
        </w:rPr>
        <w:t xml:space="preserve">using NEOX </w:t>
      </w:r>
      <w:r w:rsidR="00DC277E">
        <w:rPr>
          <w:rFonts w:ascii="HelveticaNeueLT Std" w:hAnsi="HelveticaNeueLT Std" w:cs="Arial"/>
          <w:szCs w:val="20"/>
        </w:rPr>
        <w:t xml:space="preserve">provided us with a </w:t>
      </w:r>
      <w:r w:rsidR="0023752D">
        <w:rPr>
          <w:rFonts w:ascii="HelveticaNeueLT Std" w:hAnsi="HelveticaNeueLT Std" w:cs="Arial"/>
          <w:szCs w:val="20"/>
        </w:rPr>
        <w:t xml:space="preserve">great deal </w:t>
      </w:r>
      <w:r w:rsidR="00DC277E">
        <w:rPr>
          <w:rFonts w:ascii="HelveticaNeueLT Std" w:hAnsi="HelveticaNeueLT Std" w:cs="Arial"/>
          <w:szCs w:val="20"/>
        </w:rPr>
        <w:t>of insight into how</w:t>
      </w:r>
      <w:r w:rsidR="004B0568">
        <w:rPr>
          <w:rFonts w:ascii="HelveticaNeueLT Std" w:hAnsi="HelveticaNeueLT Std" w:cs="Arial"/>
          <w:szCs w:val="20"/>
        </w:rPr>
        <w:t xml:space="preserve"> to</w:t>
      </w:r>
      <w:r w:rsidR="00DC277E">
        <w:rPr>
          <w:rFonts w:ascii="HelveticaNeueLT Std" w:hAnsi="HelveticaNeueLT Std" w:cs="Arial"/>
          <w:szCs w:val="20"/>
        </w:rPr>
        <w:t xml:space="preserve"> best treat these patients,” said Dr. Slade. “</w:t>
      </w:r>
      <w:r w:rsidR="0023752D">
        <w:rPr>
          <w:rFonts w:ascii="HelveticaNeueLT Std" w:hAnsi="HelveticaNeueLT Std" w:cs="Arial"/>
          <w:szCs w:val="20"/>
        </w:rPr>
        <w:t xml:space="preserve">The primary objective of RENEW </w:t>
      </w:r>
      <w:r w:rsidR="00DC277E">
        <w:rPr>
          <w:rFonts w:ascii="HelveticaNeueLT Std" w:hAnsi="HelveticaNeueLT Std" w:cs="Arial"/>
          <w:szCs w:val="20"/>
        </w:rPr>
        <w:t>was safety</w:t>
      </w:r>
      <w:r w:rsidR="007C1D8A">
        <w:rPr>
          <w:rFonts w:ascii="HelveticaNeueLT Std" w:hAnsi="HelveticaNeueLT Std" w:cs="Arial"/>
          <w:szCs w:val="20"/>
        </w:rPr>
        <w:t xml:space="preserve">, </w:t>
      </w:r>
      <w:r w:rsidR="00DC277E">
        <w:rPr>
          <w:rFonts w:ascii="HelveticaNeueLT Std" w:hAnsi="HelveticaNeueLT Std" w:cs="Arial"/>
          <w:szCs w:val="20"/>
        </w:rPr>
        <w:t xml:space="preserve">so </w:t>
      </w:r>
      <w:r w:rsidR="00BF7D3F">
        <w:rPr>
          <w:rFonts w:ascii="HelveticaNeueLT Std" w:hAnsi="HelveticaNeueLT Std" w:cs="Arial"/>
          <w:szCs w:val="20"/>
        </w:rPr>
        <w:t xml:space="preserve">we </w:t>
      </w:r>
      <w:r w:rsidR="00DC277E">
        <w:rPr>
          <w:rFonts w:ascii="HelveticaNeueLT Std" w:hAnsi="HelveticaNeueLT Std" w:cs="Arial"/>
          <w:szCs w:val="20"/>
        </w:rPr>
        <w:t>we</w:t>
      </w:r>
      <w:r w:rsidR="009C116C">
        <w:rPr>
          <w:rFonts w:ascii="HelveticaNeueLT Std" w:hAnsi="HelveticaNeueLT Std" w:cs="Arial"/>
          <w:szCs w:val="20"/>
        </w:rPr>
        <w:t>re maximizing exposure</w:t>
      </w:r>
      <w:r w:rsidR="00DC277E">
        <w:rPr>
          <w:rFonts w:ascii="HelveticaNeueLT Std" w:hAnsi="HelveticaNeueLT Std" w:cs="Arial"/>
          <w:szCs w:val="20"/>
        </w:rPr>
        <w:t xml:space="preserve"> </w:t>
      </w:r>
      <w:r w:rsidR="00BF7D3F">
        <w:rPr>
          <w:rFonts w:ascii="HelveticaNeueLT Std" w:hAnsi="HelveticaNeueLT Std" w:cs="Arial"/>
          <w:szCs w:val="20"/>
        </w:rPr>
        <w:t>with treatment protocol allowing application on a weekly basis up to 10 times over a 12-week period</w:t>
      </w:r>
      <w:r w:rsidR="00A8024D">
        <w:rPr>
          <w:rFonts w:ascii="HelveticaNeueLT Std" w:hAnsi="HelveticaNeueLT Std" w:cs="Arial"/>
          <w:szCs w:val="20"/>
        </w:rPr>
        <w:t>. A</w:t>
      </w:r>
      <w:r w:rsidR="00F95F23">
        <w:rPr>
          <w:rFonts w:ascii="HelveticaNeueLT Std" w:hAnsi="HelveticaNeueLT Std" w:cs="Arial"/>
          <w:szCs w:val="20"/>
        </w:rPr>
        <w:t xml:space="preserve">lthough </w:t>
      </w:r>
      <w:r w:rsidR="0055093B">
        <w:rPr>
          <w:rFonts w:ascii="HelveticaNeueLT Std" w:hAnsi="HelveticaNeueLT Std" w:cs="Arial"/>
          <w:szCs w:val="20"/>
        </w:rPr>
        <w:t xml:space="preserve">safety was </w:t>
      </w:r>
      <w:r w:rsidR="00A8024D">
        <w:rPr>
          <w:rFonts w:ascii="HelveticaNeueLT Std" w:hAnsi="HelveticaNeueLT Std" w:cs="Arial"/>
          <w:szCs w:val="20"/>
        </w:rPr>
        <w:t>determined through the study,</w:t>
      </w:r>
      <w:r w:rsidR="00A23F9E">
        <w:rPr>
          <w:rFonts w:ascii="HelveticaNeueLT Std" w:hAnsi="HelveticaNeueLT Std" w:cs="Arial"/>
          <w:szCs w:val="20"/>
        </w:rPr>
        <w:t xml:space="preserve"> </w:t>
      </w:r>
      <w:r w:rsidR="008C54DC">
        <w:rPr>
          <w:rFonts w:ascii="HelveticaNeueLT Std" w:hAnsi="HelveticaNeueLT Std" w:cs="Arial"/>
          <w:szCs w:val="20"/>
        </w:rPr>
        <w:t xml:space="preserve">the results also showed that greater frequency of application did not lead to improved efficacy, which helped us determine a more appropriate timeframe for additional applications </w:t>
      </w:r>
      <w:r w:rsidR="00C00DBA">
        <w:rPr>
          <w:rFonts w:ascii="HelveticaNeueLT Std" w:hAnsi="HelveticaNeueLT Std" w:cs="Arial"/>
          <w:szCs w:val="20"/>
        </w:rPr>
        <w:t>for the Phase 2 study</w:t>
      </w:r>
      <w:r w:rsidR="001B78D6">
        <w:rPr>
          <w:rFonts w:ascii="HelveticaNeueLT Std" w:hAnsi="HelveticaNeueLT Std" w:cs="Arial"/>
          <w:szCs w:val="20"/>
        </w:rPr>
        <w:t xml:space="preserve"> </w:t>
      </w:r>
      <w:r w:rsidR="0023474D">
        <w:rPr>
          <w:rFonts w:ascii="HelveticaNeueLT Std" w:hAnsi="HelveticaNeueLT Std" w:cs="Arial"/>
          <w:szCs w:val="20"/>
        </w:rPr>
        <w:t xml:space="preserve">of the biologic TTAX01 in these more sever ulcers </w:t>
      </w:r>
      <w:r w:rsidR="008C54DC">
        <w:rPr>
          <w:rFonts w:ascii="HelveticaNeueLT Std" w:hAnsi="HelveticaNeueLT Std" w:cs="Arial"/>
          <w:szCs w:val="20"/>
        </w:rPr>
        <w:t xml:space="preserve">and </w:t>
      </w:r>
      <w:r w:rsidR="0023474D">
        <w:rPr>
          <w:rFonts w:ascii="HelveticaNeueLT Std" w:hAnsi="HelveticaNeueLT Std" w:cs="Arial"/>
          <w:szCs w:val="20"/>
        </w:rPr>
        <w:t xml:space="preserve">re-application occurred </w:t>
      </w:r>
      <w:r w:rsidR="008C54DC">
        <w:rPr>
          <w:rFonts w:ascii="HelveticaNeueLT Std" w:hAnsi="HelveticaNeueLT Std" w:cs="Arial"/>
          <w:szCs w:val="20"/>
        </w:rPr>
        <w:t>only if</w:t>
      </w:r>
      <w:r w:rsidR="005C7D0B">
        <w:rPr>
          <w:rFonts w:ascii="HelveticaNeueLT Std" w:hAnsi="HelveticaNeueLT Std" w:cs="Arial"/>
          <w:szCs w:val="20"/>
        </w:rPr>
        <w:t xml:space="preserve"> the wound did not </w:t>
      </w:r>
      <w:r w:rsidR="001B78D6">
        <w:rPr>
          <w:rFonts w:ascii="HelveticaNeueLT Std" w:hAnsi="HelveticaNeueLT Std" w:cs="Arial"/>
          <w:szCs w:val="20"/>
        </w:rPr>
        <w:t xml:space="preserve">already </w:t>
      </w:r>
      <w:r w:rsidR="005C7D0B">
        <w:rPr>
          <w:rFonts w:ascii="HelveticaNeueLT Std" w:hAnsi="HelveticaNeueLT Std" w:cs="Arial"/>
          <w:szCs w:val="20"/>
        </w:rPr>
        <w:t>show signs of healing.”</w:t>
      </w:r>
    </w:p>
    <w:p w14:paraId="2C55B32F" w14:textId="77777777" w:rsidR="005C7D0B" w:rsidRDefault="005C7D0B" w:rsidP="008C3AFE">
      <w:pPr>
        <w:spacing w:after="0" w:line="240" w:lineRule="auto"/>
        <w:rPr>
          <w:rFonts w:ascii="HelveticaNeueLT Std" w:hAnsi="HelveticaNeueLT Std" w:cs="Arial"/>
          <w:szCs w:val="20"/>
        </w:rPr>
      </w:pPr>
    </w:p>
    <w:p w14:paraId="20D7A15C" w14:textId="6316EDD3" w:rsidR="0034386B" w:rsidRDefault="005A3BF9" w:rsidP="008C3AFE">
      <w:pPr>
        <w:spacing w:after="0" w:line="240" w:lineRule="auto"/>
        <w:rPr>
          <w:rFonts w:ascii="HelveticaNeueLT Std" w:hAnsi="HelveticaNeueLT Std" w:cs="Arial"/>
          <w:szCs w:val="20"/>
        </w:rPr>
      </w:pPr>
      <w:hyperlink r:id="rId14" w:history="1">
        <w:r w:rsidR="00AA2B88" w:rsidRPr="00105754">
          <w:rPr>
            <w:rStyle w:val="Hyperlink"/>
            <w:rFonts w:ascii="HelveticaNeueLT Std" w:hAnsi="HelveticaNeueLT Std" w:cs="Arial"/>
            <w:szCs w:val="20"/>
          </w:rPr>
          <w:t>Scheffer Tseng, MD, PhD</w:t>
        </w:r>
      </w:hyperlink>
      <w:r w:rsidR="008F5707">
        <w:rPr>
          <w:rFonts w:ascii="HelveticaNeueLT Std" w:hAnsi="HelveticaNeueLT Std" w:cs="Arial"/>
          <w:szCs w:val="20"/>
        </w:rPr>
        <w:t>, Chief Technology Officer and Co-founder of TissueTech</w:t>
      </w:r>
      <w:r w:rsidR="00B43EFB">
        <w:rPr>
          <w:rFonts w:ascii="HelveticaNeueLT Std" w:hAnsi="HelveticaNeueLT Std" w:cs="Arial"/>
          <w:szCs w:val="20"/>
        </w:rPr>
        <w:t>,</w:t>
      </w:r>
      <w:r w:rsidR="008F5707">
        <w:rPr>
          <w:rFonts w:ascii="HelveticaNeueLT Std" w:hAnsi="HelveticaNeueLT Std" w:cs="Arial"/>
          <w:szCs w:val="20"/>
        </w:rPr>
        <w:t xml:space="preserve"> agreed.</w:t>
      </w:r>
    </w:p>
    <w:p w14:paraId="5D383C70" w14:textId="517375F2" w:rsidR="008F5707" w:rsidRDefault="008F5707" w:rsidP="008C3AFE">
      <w:pPr>
        <w:spacing w:after="0" w:line="240" w:lineRule="auto"/>
        <w:rPr>
          <w:rFonts w:ascii="HelveticaNeueLT Std" w:hAnsi="HelveticaNeueLT Std" w:cs="Arial"/>
          <w:szCs w:val="20"/>
        </w:rPr>
      </w:pPr>
    </w:p>
    <w:p w14:paraId="558095E9" w14:textId="5512C168" w:rsidR="008F5707" w:rsidRDefault="008F5707" w:rsidP="008C3AFE">
      <w:pPr>
        <w:spacing w:after="0" w:line="240" w:lineRule="auto"/>
        <w:rPr>
          <w:rFonts w:ascii="HelveticaNeueLT Std" w:hAnsi="HelveticaNeueLT Std" w:cs="Arial"/>
          <w:szCs w:val="20"/>
        </w:rPr>
      </w:pPr>
      <w:r>
        <w:rPr>
          <w:rFonts w:ascii="HelveticaNeueLT Std" w:hAnsi="HelveticaNeueLT Std" w:cs="Arial"/>
          <w:szCs w:val="20"/>
        </w:rPr>
        <w:t>“</w:t>
      </w:r>
      <w:r w:rsidR="008E3E79">
        <w:rPr>
          <w:rFonts w:ascii="HelveticaNeueLT Std" w:hAnsi="HelveticaNeueLT Std" w:cs="Arial"/>
          <w:szCs w:val="20"/>
        </w:rPr>
        <w:t>From the beginning</w:t>
      </w:r>
      <w:r w:rsidR="008C39C5">
        <w:rPr>
          <w:rFonts w:ascii="HelveticaNeueLT Std" w:hAnsi="HelveticaNeueLT Std" w:cs="Arial"/>
          <w:szCs w:val="20"/>
        </w:rPr>
        <w:t>, I set out to find ways to help the body have a more functional and natural healing process</w:t>
      </w:r>
      <w:r w:rsidR="00546364">
        <w:rPr>
          <w:rFonts w:ascii="HelveticaNeueLT Std" w:hAnsi="HelveticaNeueLT Std" w:cs="Arial"/>
          <w:szCs w:val="20"/>
        </w:rPr>
        <w:t xml:space="preserve"> and to identify the biologic components of placental tissue that might help the body heal itself</w:t>
      </w:r>
      <w:r w:rsidR="008C39C5">
        <w:rPr>
          <w:rFonts w:ascii="HelveticaNeueLT Std" w:hAnsi="HelveticaNeueLT Std" w:cs="Arial"/>
          <w:szCs w:val="20"/>
        </w:rPr>
        <w:t>,”</w:t>
      </w:r>
      <w:r w:rsidR="008E3E79">
        <w:rPr>
          <w:rFonts w:ascii="HelveticaNeueLT Std" w:hAnsi="HelveticaNeueLT Std" w:cs="Arial"/>
          <w:szCs w:val="20"/>
        </w:rPr>
        <w:t xml:space="preserve"> </w:t>
      </w:r>
      <w:r w:rsidR="006000E5">
        <w:rPr>
          <w:rFonts w:ascii="HelveticaNeueLT Std" w:hAnsi="HelveticaNeueLT Std" w:cs="Arial"/>
          <w:szCs w:val="20"/>
        </w:rPr>
        <w:t>Dr. Tseng</w:t>
      </w:r>
      <w:r w:rsidR="00077D45">
        <w:rPr>
          <w:rFonts w:ascii="HelveticaNeueLT Std" w:hAnsi="HelveticaNeueLT Std" w:cs="Arial"/>
          <w:szCs w:val="20"/>
        </w:rPr>
        <w:t xml:space="preserve"> said. “I believe these </w:t>
      </w:r>
      <w:r w:rsidR="0052091F">
        <w:rPr>
          <w:rFonts w:ascii="HelveticaNeueLT Std" w:hAnsi="HelveticaNeueLT Std" w:cs="Arial"/>
          <w:szCs w:val="20"/>
        </w:rPr>
        <w:t xml:space="preserve">two </w:t>
      </w:r>
      <w:r w:rsidR="00077D45">
        <w:rPr>
          <w:rFonts w:ascii="HelveticaNeueLT Std" w:hAnsi="HelveticaNeueLT Std" w:cs="Arial"/>
          <w:szCs w:val="20"/>
        </w:rPr>
        <w:t xml:space="preserve">studies </w:t>
      </w:r>
      <w:r w:rsidR="00C37233">
        <w:rPr>
          <w:rFonts w:ascii="HelveticaNeueLT Std" w:hAnsi="HelveticaNeueLT Std" w:cs="Arial"/>
          <w:szCs w:val="20"/>
        </w:rPr>
        <w:t>are illustrative of this</w:t>
      </w:r>
      <w:r w:rsidR="009025E5">
        <w:rPr>
          <w:rFonts w:ascii="HelveticaNeueLT Std" w:hAnsi="HelveticaNeueLT Std" w:cs="Arial"/>
          <w:szCs w:val="20"/>
        </w:rPr>
        <w:t xml:space="preserve">. In RENEW, we attempted to define a very </w:t>
      </w:r>
      <w:r w:rsidR="00081EC6">
        <w:rPr>
          <w:rFonts w:ascii="HelveticaNeueLT Std" w:hAnsi="HelveticaNeueLT Std" w:cs="Arial"/>
          <w:szCs w:val="20"/>
        </w:rPr>
        <w:t>aggressive</w:t>
      </w:r>
      <w:r w:rsidR="009025E5">
        <w:rPr>
          <w:rFonts w:ascii="HelveticaNeueLT Std" w:hAnsi="HelveticaNeueLT Std" w:cs="Arial"/>
          <w:szCs w:val="20"/>
        </w:rPr>
        <w:t xml:space="preserve"> treatment schedule, which disrupted the body’s ability to</w:t>
      </w:r>
      <w:r w:rsidR="00B331B9">
        <w:rPr>
          <w:rFonts w:ascii="HelveticaNeueLT Std" w:hAnsi="HelveticaNeueLT Std" w:cs="Arial"/>
          <w:szCs w:val="20"/>
        </w:rPr>
        <w:t xml:space="preserve"> utilize </w:t>
      </w:r>
      <w:proofErr w:type="spellStart"/>
      <w:r w:rsidR="004D34D8">
        <w:rPr>
          <w:rFonts w:ascii="HelveticaNeueLT Std" w:hAnsi="HelveticaNeueLT Std" w:cs="Arial"/>
          <w:szCs w:val="20"/>
        </w:rPr>
        <w:t>Amniox’s</w:t>
      </w:r>
      <w:proofErr w:type="spellEnd"/>
      <w:r w:rsidR="004D34D8">
        <w:rPr>
          <w:rFonts w:ascii="HelveticaNeueLT Std" w:hAnsi="HelveticaNeueLT Std" w:cs="Arial"/>
          <w:szCs w:val="20"/>
        </w:rPr>
        <w:t xml:space="preserve"> cryopreserved</w:t>
      </w:r>
      <w:r w:rsidR="00B331B9">
        <w:rPr>
          <w:rFonts w:ascii="HelveticaNeueLT Std" w:hAnsi="HelveticaNeueLT Std" w:cs="Arial"/>
          <w:szCs w:val="20"/>
        </w:rPr>
        <w:t xml:space="preserve"> umbilical cord products to help heal itself</w:t>
      </w:r>
      <w:r w:rsidR="009025E5">
        <w:rPr>
          <w:rFonts w:ascii="HelveticaNeueLT Std" w:hAnsi="HelveticaNeueLT Std" w:cs="Arial"/>
          <w:szCs w:val="20"/>
        </w:rPr>
        <w:t>. Th</w:t>
      </w:r>
      <w:r w:rsidR="001A05A8">
        <w:rPr>
          <w:rFonts w:ascii="HelveticaNeueLT Std" w:hAnsi="HelveticaNeueLT Std" w:cs="Arial"/>
          <w:szCs w:val="20"/>
        </w:rPr>
        <w:t>e RENEW</w:t>
      </w:r>
      <w:r w:rsidR="009025E5">
        <w:rPr>
          <w:rFonts w:ascii="HelveticaNeueLT Std" w:hAnsi="HelveticaNeueLT Std" w:cs="Arial"/>
          <w:szCs w:val="20"/>
        </w:rPr>
        <w:t xml:space="preserve"> exploratory trial was </w:t>
      </w:r>
      <w:r w:rsidR="001A05A8">
        <w:rPr>
          <w:rFonts w:ascii="HelveticaNeueLT Std" w:hAnsi="HelveticaNeueLT Std" w:cs="Arial"/>
          <w:szCs w:val="20"/>
        </w:rPr>
        <w:t xml:space="preserve">a </w:t>
      </w:r>
      <w:r w:rsidR="009025E5">
        <w:rPr>
          <w:rFonts w:ascii="HelveticaNeueLT Std" w:hAnsi="HelveticaNeueLT Std" w:cs="Arial"/>
          <w:szCs w:val="20"/>
        </w:rPr>
        <w:t>great experience</w:t>
      </w:r>
      <w:r w:rsidR="001A05A8">
        <w:rPr>
          <w:rFonts w:ascii="HelveticaNeueLT Std" w:hAnsi="HelveticaNeueLT Std" w:cs="Arial"/>
          <w:szCs w:val="20"/>
        </w:rPr>
        <w:t xml:space="preserve"> for the team</w:t>
      </w:r>
      <w:r w:rsidR="009025E5">
        <w:rPr>
          <w:rFonts w:ascii="HelveticaNeueLT Std" w:hAnsi="HelveticaNeueLT Std" w:cs="Arial"/>
          <w:szCs w:val="20"/>
        </w:rPr>
        <w:t xml:space="preserve">, </w:t>
      </w:r>
      <w:r w:rsidR="001A05A8">
        <w:rPr>
          <w:rFonts w:ascii="HelveticaNeueLT Std" w:hAnsi="HelveticaNeueLT Std" w:cs="Arial"/>
          <w:szCs w:val="20"/>
        </w:rPr>
        <w:t xml:space="preserve">as it allowed us to </w:t>
      </w:r>
      <w:r w:rsidR="0023474D">
        <w:rPr>
          <w:rFonts w:ascii="HelveticaNeueLT Std" w:hAnsi="HelveticaNeueLT Std" w:cs="Arial"/>
          <w:szCs w:val="20"/>
        </w:rPr>
        <w:t xml:space="preserve">test a trial design with our commercial product that would inform us for the more rigorous design of </w:t>
      </w:r>
      <w:r w:rsidR="001B7D1E">
        <w:rPr>
          <w:rFonts w:ascii="HelveticaNeueLT Std" w:hAnsi="HelveticaNeueLT Std" w:cs="Arial"/>
          <w:szCs w:val="20"/>
        </w:rPr>
        <w:t xml:space="preserve"> this</w:t>
      </w:r>
      <w:r w:rsidR="009025E5">
        <w:rPr>
          <w:rFonts w:ascii="HelveticaNeueLT Std" w:hAnsi="HelveticaNeueLT Std" w:cs="Arial"/>
          <w:szCs w:val="20"/>
        </w:rPr>
        <w:t xml:space="preserve"> Phase 2</w:t>
      </w:r>
      <w:r w:rsidR="00210A6E">
        <w:rPr>
          <w:rFonts w:ascii="HelveticaNeueLT Std" w:hAnsi="HelveticaNeueLT Std" w:cs="Arial"/>
          <w:szCs w:val="20"/>
        </w:rPr>
        <w:t xml:space="preserve"> IND</w:t>
      </w:r>
      <w:r w:rsidR="009025E5">
        <w:rPr>
          <w:rFonts w:ascii="HelveticaNeueLT Std" w:hAnsi="HelveticaNeueLT Std" w:cs="Arial"/>
          <w:szCs w:val="20"/>
        </w:rPr>
        <w:t xml:space="preserve"> trial</w:t>
      </w:r>
      <w:r w:rsidR="0023474D">
        <w:rPr>
          <w:rFonts w:ascii="HelveticaNeueLT Std" w:hAnsi="HelveticaNeueLT Std" w:cs="Arial"/>
          <w:szCs w:val="20"/>
        </w:rPr>
        <w:t xml:space="preserve"> with our biologic form</w:t>
      </w:r>
      <w:r w:rsidR="009025E5">
        <w:rPr>
          <w:rFonts w:ascii="HelveticaNeueLT Std" w:hAnsi="HelveticaNeueLT Std" w:cs="Arial"/>
          <w:szCs w:val="20"/>
        </w:rPr>
        <w:t xml:space="preserve"> in a way that </w:t>
      </w:r>
      <w:r w:rsidR="001B7D1E">
        <w:rPr>
          <w:rFonts w:ascii="HelveticaNeueLT Std" w:hAnsi="HelveticaNeueLT Std" w:cs="Arial"/>
          <w:szCs w:val="20"/>
        </w:rPr>
        <w:t xml:space="preserve">encouraged treatment no more than every four weeks and </w:t>
      </w:r>
      <w:r w:rsidR="009025E5">
        <w:rPr>
          <w:rFonts w:ascii="HelveticaNeueLT Std" w:hAnsi="HelveticaNeueLT Std" w:cs="Arial"/>
          <w:szCs w:val="20"/>
        </w:rPr>
        <w:t xml:space="preserve">allowed the physician to withhold additional treatment </w:t>
      </w:r>
      <w:r w:rsidR="008E3E79">
        <w:rPr>
          <w:rFonts w:ascii="HelveticaNeueLT Std" w:hAnsi="HelveticaNeueLT Std" w:cs="Arial"/>
          <w:szCs w:val="20"/>
        </w:rPr>
        <w:t>if they saw positive signs of healing.</w:t>
      </w:r>
      <w:r w:rsidR="00210A6E">
        <w:rPr>
          <w:rFonts w:ascii="HelveticaNeueLT Std" w:hAnsi="HelveticaNeueLT Std" w:cs="Arial"/>
          <w:szCs w:val="20"/>
        </w:rPr>
        <w:t>”</w:t>
      </w:r>
    </w:p>
    <w:p w14:paraId="46BEA6CD" w14:textId="1B11DA3F" w:rsidR="0023206B" w:rsidRDefault="0023206B" w:rsidP="008C3AFE">
      <w:pPr>
        <w:spacing w:after="0" w:line="240" w:lineRule="auto"/>
        <w:rPr>
          <w:rFonts w:ascii="HelveticaNeueLT Std" w:hAnsi="HelveticaNeueLT Std" w:cs="Arial"/>
          <w:szCs w:val="20"/>
        </w:rPr>
      </w:pPr>
    </w:p>
    <w:p w14:paraId="16EE5936" w14:textId="1F7D185C" w:rsidR="0023206B" w:rsidRDefault="00B917EB" w:rsidP="008C3AFE">
      <w:pPr>
        <w:spacing w:after="0" w:line="240" w:lineRule="auto"/>
        <w:rPr>
          <w:rFonts w:ascii="HelveticaNeueLT Std" w:hAnsi="HelveticaNeueLT Std" w:cs="Arial"/>
          <w:szCs w:val="20"/>
        </w:rPr>
      </w:pPr>
      <w:r>
        <w:rPr>
          <w:rFonts w:ascii="HelveticaNeueLT Std" w:hAnsi="HelveticaNeueLT Std" w:cs="Arial"/>
          <w:szCs w:val="20"/>
        </w:rPr>
        <w:t>This trial</w:t>
      </w:r>
      <w:r w:rsidRPr="00F47101">
        <w:rPr>
          <w:rFonts w:ascii="HelveticaNeueLT Std" w:hAnsi="HelveticaNeueLT Std" w:cs="Arial"/>
          <w:szCs w:val="20"/>
        </w:rPr>
        <w:t xml:space="preserve"> was done in connection </w:t>
      </w:r>
      <w:r>
        <w:rPr>
          <w:rFonts w:ascii="HelveticaNeueLT Std" w:hAnsi="HelveticaNeueLT Std" w:cs="Arial"/>
          <w:szCs w:val="20"/>
        </w:rPr>
        <w:t xml:space="preserve">with </w:t>
      </w:r>
      <w:proofErr w:type="spellStart"/>
      <w:r>
        <w:rPr>
          <w:rFonts w:ascii="HelveticaNeueLT Std" w:hAnsi="HelveticaNeueLT Std" w:cs="Arial"/>
          <w:szCs w:val="20"/>
        </w:rPr>
        <w:t>TissueTech’s</w:t>
      </w:r>
      <w:proofErr w:type="spellEnd"/>
      <w:r>
        <w:rPr>
          <w:rFonts w:ascii="HelveticaNeueLT Std" w:hAnsi="HelveticaNeueLT Std" w:cs="Arial"/>
          <w:szCs w:val="20"/>
        </w:rPr>
        <w:t xml:space="preserve"> Investigational New Drug (IND)</w:t>
      </w:r>
      <w:r w:rsidRPr="00F47101">
        <w:rPr>
          <w:rFonts w:ascii="HelveticaNeueLT Std" w:hAnsi="HelveticaNeueLT Std" w:cs="Arial"/>
          <w:szCs w:val="20"/>
        </w:rPr>
        <w:t xml:space="preserve"> for a B</w:t>
      </w:r>
      <w:r>
        <w:rPr>
          <w:rFonts w:ascii="HelveticaNeueLT Std" w:hAnsi="HelveticaNeueLT Std" w:cs="Arial"/>
          <w:szCs w:val="20"/>
        </w:rPr>
        <w:t xml:space="preserve">iologics </w:t>
      </w:r>
      <w:r w:rsidRPr="00F47101">
        <w:rPr>
          <w:rFonts w:ascii="HelveticaNeueLT Std" w:hAnsi="HelveticaNeueLT Std" w:cs="Arial"/>
          <w:szCs w:val="20"/>
        </w:rPr>
        <w:t>L</w:t>
      </w:r>
      <w:r>
        <w:rPr>
          <w:rFonts w:ascii="HelveticaNeueLT Std" w:hAnsi="HelveticaNeueLT Std" w:cs="Arial"/>
          <w:szCs w:val="20"/>
        </w:rPr>
        <w:t xml:space="preserve">icense </w:t>
      </w:r>
      <w:r w:rsidRPr="00F47101">
        <w:rPr>
          <w:rFonts w:ascii="HelveticaNeueLT Std" w:hAnsi="HelveticaNeueLT Std" w:cs="Arial"/>
          <w:szCs w:val="20"/>
        </w:rPr>
        <w:t>A</w:t>
      </w:r>
      <w:r>
        <w:rPr>
          <w:rFonts w:ascii="HelveticaNeueLT Std" w:hAnsi="HelveticaNeueLT Std" w:cs="Arial"/>
          <w:szCs w:val="20"/>
        </w:rPr>
        <w:t>pplication (BLA) approval</w:t>
      </w:r>
      <w:r w:rsidRPr="00F47101">
        <w:rPr>
          <w:rFonts w:ascii="HelveticaNeueLT Std" w:hAnsi="HelveticaNeueLT Std" w:cs="Arial"/>
          <w:szCs w:val="20"/>
        </w:rPr>
        <w:t xml:space="preserve"> for this indication</w:t>
      </w:r>
      <w:r>
        <w:rPr>
          <w:rFonts w:ascii="HelveticaNeueLT Std" w:hAnsi="HelveticaNeueLT Std" w:cs="Arial"/>
          <w:szCs w:val="20"/>
        </w:rPr>
        <w:t xml:space="preserve">. </w:t>
      </w:r>
      <w:r w:rsidR="00121C5D">
        <w:rPr>
          <w:rFonts w:ascii="HelveticaNeueLT Std" w:hAnsi="HelveticaNeueLT Std" w:cs="Arial"/>
          <w:szCs w:val="20"/>
        </w:rPr>
        <w:t>TissueTech will now</w:t>
      </w:r>
      <w:r w:rsidR="006A3E07">
        <w:rPr>
          <w:rFonts w:ascii="HelveticaNeueLT Std" w:hAnsi="HelveticaNeueLT Std" w:cs="Arial"/>
          <w:szCs w:val="20"/>
        </w:rPr>
        <w:t xml:space="preserve"> be working with the FDA to determine the next steps for</w:t>
      </w:r>
      <w:r w:rsidR="00DB4B3E">
        <w:rPr>
          <w:rFonts w:ascii="HelveticaNeueLT Std" w:hAnsi="HelveticaNeueLT Std" w:cs="Arial"/>
          <w:szCs w:val="20"/>
        </w:rPr>
        <w:t xml:space="preserve"> moving to</w:t>
      </w:r>
      <w:r w:rsidR="004226C3">
        <w:rPr>
          <w:rFonts w:ascii="HelveticaNeueLT Std" w:hAnsi="HelveticaNeueLT Std" w:cs="Arial"/>
          <w:szCs w:val="20"/>
        </w:rPr>
        <w:t xml:space="preserve"> a Phase 3 </w:t>
      </w:r>
      <w:r w:rsidR="007577D7">
        <w:rPr>
          <w:rFonts w:ascii="HelveticaNeueLT Std" w:hAnsi="HelveticaNeueLT Std" w:cs="Arial"/>
          <w:szCs w:val="20"/>
        </w:rPr>
        <w:t xml:space="preserve">clinical study </w:t>
      </w:r>
      <w:r w:rsidR="00DB4B3E">
        <w:rPr>
          <w:rFonts w:ascii="HelveticaNeueLT Std" w:hAnsi="HelveticaNeueLT Std" w:cs="Arial"/>
          <w:szCs w:val="20"/>
        </w:rPr>
        <w:t>with</w:t>
      </w:r>
      <w:r w:rsidR="007577D7">
        <w:rPr>
          <w:rFonts w:ascii="HelveticaNeueLT Std" w:hAnsi="HelveticaNeueLT Std" w:cs="Arial"/>
          <w:szCs w:val="20"/>
        </w:rPr>
        <w:t xml:space="preserve"> TTAX01</w:t>
      </w:r>
      <w:r w:rsidR="00DB4B3E">
        <w:rPr>
          <w:rFonts w:ascii="HelveticaNeueLT Std" w:hAnsi="HelveticaNeueLT Std" w:cs="Arial"/>
          <w:szCs w:val="20"/>
        </w:rPr>
        <w:t xml:space="preserve"> for DFUs</w:t>
      </w:r>
      <w:r w:rsidR="007577D7">
        <w:rPr>
          <w:rFonts w:ascii="HelveticaNeueLT Std" w:hAnsi="HelveticaNeueLT Std" w:cs="Arial"/>
          <w:szCs w:val="20"/>
        </w:rPr>
        <w:t xml:space="preserve"> with the</w:t>
      </w:r>
      <w:r w:rsidR="00532494">
        <w:rPr>
          <w:rFonts w:ascii="HelveticaNeueLT Std" w:hAnsi="HelveticaNeueLT Std" w:cs="Arial"/>
          <w:szCs w:val="20"/>
        </w:rPr>
        <w:t xml:space="preserve"> </w:t>
      </w:r>
      <w:proofErr w:type="gramStart"/>
      <w:r w:rsidR="00532494">
        <w:rPr>
          <w:rFonts w:ascii="HelveticaNeueLT Std" w:hAnsi="HelveticaNeueLT Std" w:cs="Arial"/>
          <w:szCs w:val="20"/>
        </w:rPr>
        <w:t>ultimate</w:t>
      </w:r>
      <w:r w:rsidR="007577D7">
        <w:rPr>
          <w:rFonts w:ascii="HelveticaNeueLT Std" w:hAnsi="HelveticaNeueLT Std" w:cs="Arial"/>
          <w:szCs w:val="20"/>
        </w:rPr>
        <w:t xml:space="preserve"> goal</w:t>
      </w:r>
      <w:proofErr w:type="gramEnd"/>
      <w:r w:rsidR="007577D7">
        <w:rPr>
          <w:rFonts w:ascii="HelveticaNeueLT Std" w:hAnsi="HelveticaNeueLT Std" w:cs="Arial"/>
          <w:szCs w:val="20"/>
        </w:rPr>
        <w:t xml:space="preserve"> of </w:t>
      </w:r>
      <w:r w:rsidR="001C6050">
        <w:rPr>
          <w:rFonts w:ascii="HelveticaNeueLT Std" w:hAnsi="HelveticaNeueLT Std" w:cs="Arial"/>
          <w:szCs w:val="20"/>
        </w:rPr>
        <w:t>achieving Biologics License Application Approval for the product.</w:t>
      </w:r>
    </w:p>
    <w:p w14:paraId="1532D62F" w14:textId="5A4F7727" w:rsidR="00EE300B" w:rsidRDefault="00EE300B" w:rsidP="008C3AFE">
      <w:pPr>
        <w:spacing w:after="0" w:line="240" w:lineRule="auto"/>
        <w:rPr>
          <w:rFonts w:ascii="HelveticaNeueLT Std" w:hAnsi="HelveticaNeueLT Std" w:cs="Arial"/>
          <w:szCs w:val="20"/>
        </w:rPr>
      </w:pPr>
    </w:p>
    <w:p w14:paraId="0E898DC8" w14:textId="77B0DAFC" w:rsidR="001C6D81" w:rsidRPr="0043387C" w:rsidRDefault="00EE300B" w:rsidP="003B1C66">
      <w:pPr>
        <w:spacing w:after="0" w:line="240" w:lineRule="auto"/>
        <w:rPr>
          <w:rFonts w:ascii="HelveticaNeueLT Std" w:hAnsi="HelveticaNeueLT Std" w:cs="Arial"/>
          <w:szCs w:val="20"/>
        </w:rPr>
      </w:pPr>
      <w:r>
        <w:rPr>
          <w:rFonts w:ascii="HelveticaNeueLT Std" w:hAnsi="HelveticaNeueLT Std" w:cs="Arial"/>
          <w:szCs w:val="20"/>
        </w:rPr>
        <w:t xml:space="preserve">“We are </w:t>
      </w:r>
      <w:r w:rsidR="002051F6">
        <w:rPr>
          <w:rFonts w:ascii="HelveticaNeueLT Std" w:hAnsi="HelveticaNeueLT Std" w:cs="Arial"/>
          <w:szCs w:val="20"/>
        </w:rPr>
        <w:t>proud of</w:t>
      </w:r>
      <w:r>
        <w:rPr>
          <w:rFonts w:ascii="HelveticaNeueLT Std" w:hAnsi="HelveticaNeueLT Std" w:cs="Arial"/>
          <w:szCs w:val="20"/>
        </w:rPr>
        <w:t xml:space="preserve"> the investments we have made </w:t>
      </w:r>
      <w:r w:rsidR="00C3267A">
        <w:rPr>
          <w:rFonts w:ascii="HelveticaNeueLT Std" w:hAnsi="HelveticaNeueLT Std" w:cs="Arial"/>
          <w:szCs w:val="20"/>
        </w:rPr>
        <w:t>to becom</w:t>
      </w:r>
      <w:r w:rsidR="00C1220D">
        <w:rPr>
          <w:rFonts w:ascii="HelveticaNeueLT Std" w:hAnsi="HelveticaNeueLT Std" w:cs="Arial"/>
          <w:szCs w:val="20"/>
        </w:rPr>
        <w:t xml:space="preserve">e </w:t>
      </w:r>
      <w:r w:rsidR="003F546B">
        <w:rPr>
          <w:rFonts w:ascii="HelveticaNeueLT Std" w:hAnsi="HelveticaNeueLT Std" w:cs="Arial"/>
          <w:szCs w:val="20"/>
        </w:rPr>
        <w:t>a</w:t>
      </w:r>
      <w:r w:rsidR="008E5B0D">
        <w:rPr>
          <w:rFonts w:ascii="HelveticaNeueLT Std" w:hAnsi="HelveticaNeueLT Std" w:cs="Arial"/>
          <w:szCs w:val="20"/>
        </w:rPr>
        <w:t xml:space="preserve"> b</w:t>
      </w:r>
      <w:r w:rsidR="003052DB">
        <w:rPr>
          <w:rFonts w:ascii="HelveticaNeueLT Std" w:hAnsi="HelveticaNeueLT Std" w:cs="Arial"/>
          <w:szCs w:val="20"/>
        </w:rPr>
        <w:t>iologics provide</w:t>
      </w:r>
      <w:r w:rsidR="00C3267A">
        <w:rPr>
          <w:rFonts w:ascii="HelveticaNeueLT Std" w:hAnsi="HelveticaNeueLT Std" w:cs="Arial"/>
          <w:szCs w:val="20"/>
        </w:rPr>
        <w:t>r</w:t>
      </w:r>
      <w:r w:rsidR="003052DB">
        <w:rPr>
          <w:rFonts w:ascii="HelveticaNeueLT Std" w:hAnsi="HelveticaNeueLT Std" w:cs="Arial"/>
          <w:szCs w:val="20"/>
        </w:rPr>
        <w:t xml:space="preserve"> and hope to gain biologic license approval for</w:t>
      </w:r>
      <w:r w:rsidR="00740A0F">
        <w:rPr>
          <w:rFonts w:ascii="HelveticaNeueLT Std" w:hAnsi="HelveticaNeueLT Std" w:cs="Arial"/>
          <w:szCs w:val="20"/>
        </w:rPr>
        <w:t xml:space="preserve"> </w:t>
      </w:r>
      <w:r w:rsidR="00F25676">
        <w:rPr>
          <w:rFonts w:ascii="HelveticaNeueLT Std" w:hAnsi="HelveticaNeueLT Std" w:cs="Arial"/>
          <w:szCs w:val="20"/>
        </w:rPr>
        <w:t xml:space="preserve">newly </w:t>
      </w:r>
      <w:r w:rsidR="00740A0F">
        <w:rPr>
          <w:rFonts w:ascii="HelveticaNeueLT Std" w:hAnsi="HelveticaNeueLT Std" w:cs="Arial"/>
          <w:szCs w:val="20"/>
        </w:rPr>
        <w:t>formulated versions of o</w:t>
      </w:r>
      <w:r w:rsidR="008E5B0D">
        <w:rPr>
          <w:rFonts w:ascii="HelveticaNeueLT Std" w:hAnsi="HelveticaNeueLT Std" w:cs="Arial"/>
          <w:szCs w:val="20"/>
        </w:rPr>
        <w:t>ur</w:t>
      </w:r>
      <w:r>
        <w:rPr>
          <w:rFonts w:ascii="HelveticaNeueLT Std" w:hAnsi="HelveticaNeueLT Std" w:cs="Arial"/>
          <w:szCs w:val="20"/>
        </w:rPr>
        <w:t xml:space="preserve"> HCT/P </w:t>
      </w:r>
      <w:r w:rsidR="008E5B0D">
        <w:rPr>
          <w:rFonts w:ascii="HelveticaNeueLT Std" w:hAnsi="HelveticaNeueLT Std" w:cs="Arial"/>
          <w:szCs w:val="20"/>
        </w:rPr>
        <w:t>products</w:t>
      </w:r>
      <w:r w:rsidR="006245C3">
        <w:rPr>
          <w:rFonts w:ascii="HelveticaNeueLT Std" w:hAnsi="HelveticaNeueLT Std" w:cs="Arial"/>
          <w:szCs w:val="20"/>
        </w:rPr>
        <w:t xml:space="preserve"> over the </w:t>
      </w:r>
      <w:r w:rsidR="00F25676">
        <w:rPr>
          <w:rFonts w:ascii="HelveticaNeueLT Std" w:hAnsi="HelveticaNeueLT Std" w:cs="Arial"/>
          <w:szCs w:val="20"/>
        </w:rPr>
        <w:t>coming</w:t>
      </w:r>
      <w:r w:rsidR="006245C3">
        <w:rPr>
          <w:rFonts w:ascii="HelveticaNeueLT Std" w:hAnsi="HelveticaNeueLT Std" w:cs="Arial"/>
          <w:szCs w:val="20"/>
        </w:rPr>
        <w:t xml:space="preserve"> years,” said </w:t>
      </w:r>
      <w:hyperlink r:id="rId15" w:history="1">
        <w:r w:rsidR="006245C3" w:rsidRPr="007A3B37">
          <w:rPr>
            <w:rStyle w:val="Hyperlink"/>
            <w:rFonts w:ascii="HelveticaNeueLT Std" w:hAnsi="HelveticaNeueLT Std" w:cs="Arial"/>
            <w:szCs w:val="20"/>
          </w:rPr>
          <w:t>Amy Tseng</w:t>
        </w:r>
      </w:hyperlink>
      <w:r w:rsidR="006245C3">
        <w:rPr>
          <w:rFonts w:ascii="HelveticaNeueLT Std" w:hAnsi="HelveticaNeueLT Std" w:cs="Arial"/>
          <w:szCs w:val="20"/>
        </w:rPr>
        <w:t>, CEO and Co-founder of TissueTech.</w:t>
      </w:r>
      <w:r w:rsidR="002E1F23">
        <w:rPr>
          <w:rFonts w:ascii="HelveticaNeueLT Std" w:hAnsi="HelveticaNeueLT Std" w:cs="Arial"/>
          <w:szCs w:val="20"/>
        </w:rPr>
        <w:t xml:space="preserve"> “</w:t>
      </w:r>
      <w:r w:rsidR="005504F2">
        <w:rPr>
          <w:rFonts w:ascii="HelveticaNeueLT Std" w:hAnsi="HelveticaNeueLT Std" w:cs="Arial"/>
          <w:szCs w:val="20"/>
        </w:rPr>
        <w:t xml:space="preserve">This study </w:t>
      </w:r>
      <w:r w:rsidR="00376B9B">
        <w:rPr>
          <w:rFonts w:ascii="HelveticaNeueLT Std" w:hAnsi="HelveticaNeueLT Std" w:cs="Arial"/>
          <w:szCs w:val="20"/>
        </w:rPr>
        <w:t>demonstrates a small portion of the unmet need that our products might be able to fill</w:t>
      </w:r>
      <w:r w:rsidR="002E5EBB">
        <w:rPr>
          <w:rFonts w:ascii="HelveticaNeueLT Std" w:hAnsi="HelveticaNeueLT Std" w:cs="Arial"/>
          <w:szCs w:val="20"/>
        </w:rPr>
        <w:t xml:space="preserve"> for DFU patients</w:t>
      </w:r>
      <w:r w:rsidR="00971427">
        <w:rPr>
          <w:rFonts w:ascii="HelveticaNeueLT Std" w:hAnsi="HelveticaNeueLT Std" w:cs="Arial"/>
          <w:szCs w:val="20"/>
        </w:rPr>
        <w:t xml:space="preserve"> and reinforce</w:t>
      </w:r>
      <w:r w:rsidR="00ED70BE">
        <w:rPr>
          <w:rFonts w:ascii="HelveticaNeueLT Std" w:hAnsi="HelveticaNeueLT Std" w:cs="Arial"/>
          <w:szCs w:val="20"/>
        </w:rPr>
        <w:t>s</w:t>
      </w:r>
      <w:r w:rsidR="003B1C66">
        <w:rPr>
          <w:rFonts w:ascii="HelveticaNeueLT Std" w:hAnsi="HelveticaNeueLT Std" w:cs="Arial"/>
          <w:szCs w:val="20"/>
        </w:rPr>
        <w:t xml:space="preserve"> our status as the leader in the </w:t>
      </w:r>
      <w:r w:rsidR="002E1F23">
        <w:rPr>
          <w:rFonts w:ascii="Arial" w:hAnsi="Arial" w:cs="Arial"/>
          <w:color w:val="000000"/>
          <w:sz w:val="21"/>
          <w:szCs w:val="21"/>
          <w:shd w:val="clear" w:color="auto" w:fill="FFFFFF"/>
        </w:rPr>
        <w:t xml:space="preserve">scientific understanding and innovative application of placental tissue </w:t>
      </w:r>
      <w:r w:rsidR="00E3004B">
        <w:rPr>
          <w:rFonts w:ascii="Arial" w:hAnsi="Arial" w:cs="Arial"/>
          <w:color w:val="000000"/>
          <w:sz w:val="21"/>
          <w:szCs w:val="21"/>
          <w:shd w:val="clear" w:color="auto" w:fill="FFFFFF"/>
        </w:rPr>
        <w:t>for</w:t>
      </w:r>
      <w:r w:rsidR="002E1F23">
        <w:rPr>
          <w:rFonts w:ascii="Arial" w:hAnsi="Arial" w:cs="Arial"/>
          <w:color w:val="000000"/>
          <w:sz w:val="21"/>
          <w:szCs w:val="21"/>
          <w:shd w:val="clear" w:color="auto" w:fill="FFFFFF"/>
        </w:rPr>
        <w:t xml:space="preserve"> regenerative </w:t>
      </w:r>
      <w:r w:rsidR="00E3004B">
        <w:rPr>
          <w:rFonts w:ascii="Arial" w:hAnsi="Arial" w:cs="Arial"/>
          <w:color w:val="000000"/>
          <w:sz w:val="21"/>
          <w:szCs w:val="21"/>
          <w:shd w:val="clear" w:color="auto" w:fill="FFFFFF"/>
        </w:rPr>
        <w:t>healing</w:t>
      </w:r>
      <w:r w:rsidR="003B1C66">
        <w:rPr>
          <w:rFonts w:ascii="Arial" w:hAnsi="Arial" w:cs="Arial"/>
          <w:color w:val="000000"/>
          <w:sz w:val="21"/>
          <w:szCs w:val="21"/>
          <w:shd w:val="clear" w:color="auto" w:fill="FFFFFF"/>
        </w:rPr>
        <w:t>.”</w:t>
      </w:r>
    </w:p>
    <w:p w14:paraId="0518DCE1" w14:textId="77777777" w:rsidR="00AC6616" w:rsidRPr="0043387C" w:rsidRDefault="00AC6616" w:rsidP="00A44226">
      <w:pPr>
        <w:spacing w:after="0" w:line="240" w:lineRule="auto"/>
        <w:rPr>
          <w:rFonts w:ascii="HelveticaNeueLT Std" w:hAnsi="HelveticaNeueLT Std" w:cs="Arial"/>
          <w:szCs w:val="20"/>
        </w:rPr>
      </w:pPr>
    </w:p>
    <w:p w14:paraId="6E3A53C6" w14:textId="72C06F87" w:rsidR="00046B31" w:rsidRPr="00E56F60" w:rsidRDefault="00046B31" w:rsidP="00046B31">
      <w:pPr>
        <w:contextualSpacing/>
        <w:rPr>
          <w:rFonts w:ascii="HelveticaNeueLT Std" w:hAnsi="HelveticaNeueLT Std" w:cs="Arial"/>
          <w:b/>
          <w:bCs/>
          <w:szCs w:val="20"/>
        </w:rPr>
      </w:pPr>
      <w:r w:rsidRPr="0043387C">
        <w:rPr>
          <w:rFonts w:ascii="HelveticaNeueLT Std" w:hAnsi="HelveticaNeueLT Std" w:cs="Arial"/>
          <w:b/>
          <w:bCs/>
          <w:szCs w:val="20"/>
        </w:rPr>
        <w:t>About Amniox Medical, Inc.</w:t>
      </w:r>
    </w:p>
    <w:p w14:paraId="2C602588" w14:textId="26A5FC67" w:rsidR="00220D0F" w:rsidRPr="0043387C" w:rsidRDefault="00D40BBB" w:rsidP="005B5404">
      <w:pPr>
        <w:contextualSpacing/>
        <w:rPr>
          <w:rFonts w:ascii="HelveticaNeueLT Std" w:hAnsi="HelveticaNeueLT Std" w:cs="Segoe UI"/>
          <w:szCs w:val="20"/>
        </w:rPr>
      </w:pPr>
      <w:r w:rsidRPr="0043387C">
        <w:rPr>
          <w:rFonts w:ascii="HelveticaNeueLT Std" w:hAnsi="HelveticaNeueLT Std" w:cs="Arial"/>
          <w:szCs w:val="20"/>
        </w:rPr>
        <w:lastRenderedPageBreak/>
        <w:t>Amniox Medical, Inc., a TissueTech, Inc. company, is</w:t>
      </w:r>
      <w:r w:rsidR="00FC11D7" w:rsidRPr="0043387C">
        <w:rPr>
          <w:rFonts w:ascii="HelveticaNeueLT Std" w:hAnsi="HelveticaNeueLT Std" w:cs="Arial"/>
          <w:szCs w:val="20"/>
        </w:rPr>
        <w:t xml:space="preserve"> a leader in the clinical application of amniotic membrane and umbilical cord-based products </w:t>
      </w:r>
      <w:r w:rsidR="00C85CCB" w:rsidRPr="0043387C">
        <w:rPr>
          <w:rFonts w:ascii="HelveticaNeueLT Std" w:hAnsi="HelveticaNeueLT Std" w:cs="Arial"/>
          <w:szCs w:val="20"/>
        </w:rPr>
        <w:t xml:space="preserve">processed using </w:t>
      </w:r>
      <w:proofErr w:type="spellStart"/>
      <w:r w:rsidR="00C33E1F" w:rsidRPr="0043387C">
        <w:rPr>
          <w:rFonts w:ascii="HelveticaNeueLT Std" w:hAnsi="HelveticaNeueLT Std" w:cs="Arial"/>
          <w:szCs w:val="20"/>
        </w:rPr>
        <w:t>TissueTech’s</w:t>
      </w:r>
      <w:proofErr w:type="spellEnd"/>
      <w:r w:rsidR="00C85CCB" w:rsidRPr="0043387C">
        <w:rPr>
          <w:rFonts w:ascii="HelveticaNeueLT Std" w:hAnsi="HelveticaNeueLT Std" w:cs="Arial"/>
          <w:szCs w:val="20"/>
        </w:rPr>
        <w:t xml:space="preserve"> proprietary </w:t>
      </w:r>
      <w:hyperlink r:id="rId16" w:history="1">
        <w:proofErr w:type="spellStart"/>
        <w:r w:rsidR="00C90E1F" w:rsidRPr="0043387C">
          <w:rPr>
            <w:rStyle w:val="Hyperlink"/>
            <w:rFonts w:ascii="HelveticaNeueLT Std" w:hAnsi="HelveticaNeueLT Std" w:cs="Arial"/>
            <w:szCs w:val="20"/>
          </w:rPr>
          <w:t>CryoTek</w:t>
        </w:r>
        <w:proofErr w:type="spellEnd"/>
        <w:r w:rsidR="008A5EB7" w:rsidRPr="008A5EB7">
          <w:rPr>
            <w:rStyle w:val="Hyperlink"/>
            <w:rFonts w:ascii="HelveticaNeueLT Std" w:hAnsi="HelveticaNeueLT Std" w:cs="Arial"/>
            <w:szCs w:val="20"/>
            <w:vertAlign w:val="superscript"/>
          </w:rPr>
          <w:t>©</w:t>
        </w:r>
        <w:r w:rsidR="00C90E1F" w:rsidRPr="0043387C">
          <w:rPr>
            <w:rStyle w:val="Hyperlink"/>
            <w:rFonts w:ascii="HelveticaNeueLT Std" w:hAnsi="HelveticaNeueLT Std" w:cs="Arial"/>
            <w:szCs w:val="20"/>
          </w:rPr>
          <w:t xml:space="preserve"> cryopreserved technology</w:t>
        </w:r>
      </w:hyperlink>
      <w:r w:rsidR="003350AD" w:rsidRPr="0043387C">
        <w:rPr>
          <w:rFonts w:ascii="HelveticaNeueLT Std" w:hAnsi="HelveticaNeueLT Std" w:cs="Arial"/>
          <w:szCs w:val="20"/>
        </w:rPr>
        <w:t xml:space="preserve">. </w:t>
      </w:r>
      <w:r w:rsidR="008203A3" w:rsidRPr="0043387C">
        <w:rPr>
          <w:rFonts w:ascii="HelveticaNeueLT Std" w:hAnsi="HelveticaNeueLT Std" w:cs="Arial"/>
          <w:szCs w:val="20"/>
        </w:rPr>
        <w:t xml:space="preserve">Established in 2011, Amniox serves an unmet need for better surgical and therapeutic outcomes for </w:t>
      </w:r>
      <w:r w:rsidR="00D2481C" w:rsidRPr="0043387C">
        <w:rPr>
          <w:rFonts w:ascii="HelveticaNeueLT Std" w:hAnsi="HelveticaNeueLT Std" w:cs="Arial"/>
          <w:szCs w:val="20"/>
        </w:rPr>
        <w:t>chronic and complex wounds, orthopedics, sports medicine, spine, urology, gynecology, plastics, and general surgery</w:t>
      </w:r>
      <w:r w:rsidR="00263604" w:rsidRPr="0043387C">
        <w:rPr>
          <w:rFonts w:ascii="HelveticaNeueLT Std" w:hAnsi="HelveticaNeueLT Std" w:cs="Arial"/>
          <w:szCs w:val="20"/>
        </w:rPr>
        <w:t>.</w:t>
      </w:r>
      <w:r w:rsidR="003250DD" w:rsidRPr="0043387C">
        <w:rPr>
          <w:rFonts w:ascii="HelveticaNeueLT Std" w:hAnsi="HelveticaNeueLT Std" w:cs="Arial"/>
          <w:szCs w:val="20"/>
        </w:rPr>
        <w:t xml:space="preserve"> </w:t>
      </w:r>
      <w:r w:rsidR="005B5404" w:rsidRPr="0043387C">
        <w:rPr>
          <w:rFonts w:ascii="HelveticaNeueLT Std" w:hAnsi="HelveticaNeueLT Std" w:cs="Arial"/>
          <w:szCs w:val="20"/>
        </w:rPr>
        <w:t xml:space="preserve">Connect with Amniox on our </w:t>
      </w:r>
      <w:hyperlink r:id="rId17" w:history="1">
        <w:r w:rsidR="005B5404" w:rsidRPr="0043387C">
          <w:rPr>
            <w:rStyle w:val="Hyperlink"/>
            <w:rFonts w:ascii="HelveticaNeueLT Std" w:hAnsi="HelveticaNeueLT Std" w:cs="Arial"/>
            <w:szCs w:val="20"/>
          </w:rPr>
          <w:t>Website</w:t>
        </w:r>
      </w:hyperlink>
      <w:r w:rsidR="005B5404" w:rsidRPr="0043387C">
        <w:rPr>
          <w:rFonts w:ascii="HelveticaNeueLT Std" w:hAnsi="HelveticaNeueLT Std" w:cs="Arial"/>
          <w:szCs w:val="20"/>
        </w:rPr>
        <w:t xml:space="preserve">, </w:t>
      </w:r>
      <w:hyperlink r:id="rId18" w:history="1">
        <w:r w:rsidR="005B5404" w:rsidRPr="0043387C">
          <w:rPr>
            <w:rStyle w:val="Hyperlink"/>
            <w:rFonts w:ascii="HelveticaNeueLT Std" w:hAnsi="HelveticaNeueLT Std" w:cs="Arial"/>
            <w:szCs w:val="20"/>
          </w:rPr>
          <w:t>Facebook</w:t>
        </w:r>
      </w:hyperlink>
      <w:r w:rsidR="005B5404" w:rsidRPr="0043387C">
        <w:rPr>
          <w:rFonts w:ascii="HelveticaNeueLT Std" w:hAnsi="HelveticaNeueLT Std" w:cs="Arial"/>
          <w:szCs w:val="20"/>
        </w:rPr>
        <w:t xml:space="preserve">, </w:t>
      </w:r>
      <w:hyperlink r:id="rId19" w:history="1">
        <w:r w:rsidR="005B5404" w:rsidRPr="0043387C">
          <w:rPr>
            <w:rStyle w:val="Hyperlink"/>
            <w:rFonts w:ascii="HelveticaNeueLT Std" w:hAnsi="HelveticaNeueLT Std" w:cs="Arial"/>
            <w:szCs w:val="20"/>
          </w:rPr>
          <w:t>LinkedIn</w:t>
        </w:r>
      </w:hyperlink>
      <w:r w:rsidR="005B5404" w:rsidRPr="0043387C">
        <w:rPr>
          <w:rFonts w:ascii="HelveticaNeueLT Std" w:hAnsi="HelveticaNeueLT Std" w:cs="Arial"/>
          <w:szCs w:val="20"/>
        </w:rPr>
        <w:t xml:space="preserve"> and </w:t>
      </w:r>
      <w:hyperlink r:id="rId20" w:history="1">
        <w:r w:rsidR="005B5404" w:rsidRPr="0043387C">
          <w:rPr>
            <w:rStyle w:val="Hyperlink"/>
            <w:rFonts w:ascii="HelveticaNeueLT Std" w:hAnsi="HelveticaNeueLT Std" w:cs="Arial"/>
            <w:szCs w:val="20"/>
          </w:rPr>
          <w:t>Twitter</w:t>
        </w:r>
      </w:hyperlink>
      <w:r w:rsidR="005B5404" w:rsidRPr="0043387C">
        <w:rPr>
          <w:rFonts w:ascii="HelveticaNeueLT Std" w:hAnsi="HelveticaNeueLT Std" w:cs="Arial"/>
          <w:szCs w:val="20"/>
        </w:rPr>
        <w:t xml:space="preserve">. </w:t>
      </w:r>
    </w:p>
    <w:p w14:paraId="17EE97CC" w14:textId="77777777" w:rsidR="00220D0F" w:rsidRPr="007E421D" w:rsidRDefault="00220D0F" w:rsidP="00046B31">
      <w:pPr>
        <w:contextualSpacing/>
        <w:rPr>
          <w:rFonts w:ascii="HelveticaNeueLT Std" w:hAnsi="HelveticaNeueLT Std" w:cs="Arial"/>
          <w:b/>
          <w:szCs w:val="20"/>
        </w:rPr>
      </w:pPr>
    </w:p>
    <w:p w14:paraId="3EA52411" w14:textId="1D1C3487" w:rsidR="00046B31" w:rsidRPr="007E3D92" w:rsidRDefault="00D40BBB" w:rsidP="007E3D92">
      <w:pPr>
        <w:pStyle w:val="NormalWeb"/>
        <w:shd w:val="clear" w:color="auto" w:fill="FEFEFE"/>
        <w:spacing w:before="0" w:beforeAutospacing="0" w:after="360" w:afterAutospacing="0"/>
        <w:rPr>
          <w:rFonts w:ascii="HelveticaNeueLT Std" w:eastAsiaTheme="minorHAnsi" w:hAnsi="HelveticaNeueLT Std" w:cs="Calibri"/>
          <w:b/>
          <w:sz w:val="22"/>
          <w:szCs w:val="20"/>
          <w:u w:val="single"/>
        </w:rPr>
      </w:pPr>
      <w:r w:rsidRPr="007E421D">
        <w:rPr>
          <w:rFonts w:ascii="HelveticaNeueLT Std" w:eastAsiaTheme="minorHAnsi" w:hAnsi="HelveticaNeueLT Std" w:cs="Arial"/>
          <w:b/>
          <w:sz w:val="22"/>
          <w:szCs w:val="20"/>
        </w:rPr>
        <w:t>About TissueTech, Inc.</w:t>
      </w:r>
      <w:r w:rsidR="00E56F60" w:rsidRPr="007E421D">
        <w:rPr>
          <w:rFonts w:ascii="HelveticaNeueLT Std" w:eastAsiaTheme="minorHAnsi" w:hAnsi="HelveticaNeueLT Std" w:cs="Arial"/>
          <w:b/>
          <w:sz w:val="22"/>
          <w:szCs w:val="20"/>
        </w:rPr>
        <w:br/>
      </w:r>
      <w:hyperlink r:id="rId21" w:history="1">
        <w:r w:rsidRPr="00230772">
          <w:rPr>
            <w:rStyle w:val="Hyperlink"/>
            <w:rFonts w:ascii="HelveticaNeueLT Std" w:eastAsiaTheme="minorHAnsi" w:hAnsi="HelveticaNeueLT Std" w:cs="Arial"/>
            <w:sz w:val="22"/>
            <w:szCs w:val="20"/>
          </w:rPr>
          <w:t>TissueTech, Inc.</w:t>
        </w:r>
      </w:hyperlink>
      <w:r w:rsidRPr="00E56F60">
        <w:rPr>
          <w:rFonts w:ascii="HelveticaNeueLT Std" w:eastAsiaTheme="minorHAnsi" w:hAnsi="HelveticaNeueLT Std" w:cs="Arial"/>
          <w:sz w:val="22"/>
          <w:szCs w:val="20"/>
        </w:rPr>
        <w:t xml:space="preserve">, the parent company of </w:t>
      </w:r>
      <w:hyperlink r:id="rId22" w:history="1">
        <w:r w:rsidRPr="00230772">
          <w:rPr>
            <w:rStyle w:val="Hyperlink"/>
            <w:rFonts w:ascii="HelveticaNeueLT Std" w:eastAsiaTheme="minorHAnsi" w:hAnsi="HelveticaNeueLT Std" w:cs="Arial"/>
            <w:sz w:val="22"/>
            <w:szCs w:val="20"/>
          </w:rPr>
          <w:t>Amniox Medical, Inc.</w:t>
        </w:r>
      </w:hyperlink>
      <w:r w:rsidRPr="00E56F60">
        <w:rPr>
          <w:rFonts w:ascii="HelveticaNeueLT Std" w:eastAsiaTheme="minorHAnsi" w:hAnsi="HelveticaNeueLT Std" w:cs="Arial"/>
          <w:sz w:val="22"/>
          <w:szCs w:val="20"/>
        </w:rPr>
        <w:t xml:space="preserve"> and </w:t>
      </w:r>
      <w:hyperlink r:id="rId23" w:history="1">
        <w:r w:rsidRPr="00230772">
          <w:rPr>
            <w:rStyle w:val="Hyperlink"/>
            <w:rFonts w:ascii="HelveticaNeueLT Std" w:eastAsiaTheme="minorHAnsi" w:hAnsi="HelveticaNeueLT Std" w:cs="Arial"/>
            <w:sz w:val="22"/>
            <w:szCs w:val="20"/>
          </w:rPr>
          <w:t>BioTissue, Inc.</w:t>
        </w:r>
      </w:hyperlink>
      <w:r w:rsidRPr="00E56F60">
        <w:rPr>
          <w:rFonts w:ascii="HelveticaNeueLT Std" w:eastAsiaTheme="minorHAnsi" w:hAnsi="HelveticaNeueLT Std" w:cs="Arial"/>
          <w:sz w:val="22"/>
          <w:szCs w:val="20"/>
        </w:rPr>
        <w:t xml:space="preserve">, pioneered the development and clinical application of amniotic tissue-based products. Amniox Medical develops and markets products for use in the musculoskeletal and wound care markets; </w:t>
      </w:r>
      <w:proofErr w:type="spellStart"/>
      <w:r w:rsidRPr="00E56F60">
        <w:rPr>
          <w:rFonts w:ascii="HelveticaNeueLT Std" w:eastAsiaTheme="minorHAnsi" w:hAnsi="HelveticaNeueLT Std" w:cs="Arial"/>
          <w:sz w:val="22"/>
          <w:szCs w:val="20"/>
        </w:rPr>
        <w:t>BioTissue</w:t>
      </w:r>
      <w:proofErr w:type="spellEnd"/>
      <w:r w:rsidRPr="00E56F60">
        <w:rPr>
          <w:rFonts w:ascii="HelveticaNeueLT Std" w:eastAsiaTheme="minorHAnsi" w:hAnsi="HelveticaNeueLT Std" w:cs="Arial"/>
          <w:sz w:val="22"/>
          <w:szCs w:val="20"/>
        </w:rPr>
        <w:t xml:space="preserve"> develops and markets products for the ophthalmology and optometry markets. The Since the company’s inception, clinicians have performed more than 500,000 human implants of the company’s products and published more than 300 peer-reviewed studies supporting its technology platform. The Company’s first product, </w:t>
      </w:r>
      <w:hyperlink r:id="rId24" w:history="1">
        <w:r w:rsidRPr="00CD1664">
          <w:rPr>
            <w:rStyle w:val="Hyperlink"/>
            <w:rFonts w:ascii="HelveticaNeueLT Std" w:eastAsiaTheme="minorHAnsi" w:hAnsi="HelveticaNeueLT Std" w:cs="Arial"/>
            <w:sz w:val="22"/>
            <w:szCs w:val="20"/>
          </w:rPr>
          <w:t>AmnioGraft</w:t>
        </w:r>
        <w:r w:rsidRPr="00CD1664">
          <w:rPr>
            <w:rStyle w:val="Hyperlink"/>
            <w:rFonts w:ascii="HelveticaNeueLT Std" w:eastAsiaTheme="minorHAnsi" w:hAnsi="HelveticaNeueLT Std" w:cs="Arial"/>
            <w:sz w:val="22"/>
            <w:szCs w:val="20"/>
            <w:vertAlign w:val="superscript"/>
          </w:rPr>
          <w:t>®</w:t>
        </w:r>
      </w:hyperlink>
      <w:r w:rsidRPr="00E56F60">
        <w:rPr>
          <w:rFonts w:ascii="HelveticaNeueLT Std" w:eastAsiaTheme="minorHAnsi" w:hAnsi="HelveticaNeueLT Std" w:cs="Arial"/>
          <w:sz w:val="22"/>
          <w:szCs w:val="20"/>
        </w:rPr>
        <w:t>, is the only tissue graft designated by the FDA as homologous for promoting ophthalmic wound healing. Learn more at</w:t>
      </w:r>
      <w:r w:rsidRPr="0043387C">
        <w:rPr>
          <w:rFonts w:ascii="HelveticaNeueLT Std" w:eastAsiaTheme="minorHAnsi" w:hAnsi="HelveticaNeueLT Std" w:cs="Calibri"/>
          <w:sz w:val="22"/>
          <w:szCs w:val="20"/>
        </w:rPr>
        <w:t xml:space="preserve"> </w:t>
      </w:r>
      <w:hyperlink r:id="rId25" w:history="1">
        <w:r w:rsidRPr="0043387C">
          <w:rPr>
            <w:rStyle w:val="Hyperlink"/>
            <w:rFonts w:ascii="HelveticaNeueLT Std" w:eastAsiaTheme="minorHAnsi" w:hAnsi="HelveticaNeueLT Std" w:cs="Calibri"/>
            <w:sz w:val="22"/>
            <w:szCs w:val="20"/>
          </w:rPr>
          <w:t>www.tissuetech.com</w:t>
        </w:r>
      </w:hyperlink>
      <w:r w:rsidRPr="0043387C">
        <w:rPr>
          <w:rFonts w:ascii="HelveticaNeueLT Std" w:eastAsiaTheme="minorHAnsi" w:hAnsi="HelveticaNeueLT Std" w:cs="Calibri"/>
          <w:sz w:val="22"/>
          <w:szCs w:val="20"/>
        </w:rPr>
        <w:t xml:space="preserve">. </w:t>
      </w:r>
    </w:p>
    <w:p w14:paraId="5CA16AF8" w14:textId="0F3D19E2" w:rsidR="005F34DC" w:rsidRDefault="00046B31" w:rsidP="00046B31">
      <w:pPr>
        <w:contextualSpacing/>
        <w:jc w:val="center"/>
        <w:rPr>
          <w:rFonts w:ascii="HelveticaNeueLT Std" w:hAnsi="HelveticaNeueLT Std" w:cs="Arial"/>
          <w:szCs w:val="20"/>
        </w:rPr>
      </w:pPr>
      <w:r w:rsidRPr="0043387C">
        <w:rPr>
          <w:rFonts w:ascii="HelveticaNeueLT Std" w:hAnsi="HelveticaNeueLT Std" w:cs="Arial"/>
          <w:szCs w:val="20"/>
        </w:rPr>
        <w:t>###</w:t>
      </w:r>
    </w:p>
    <w:p w14:paraId="3616A9CD" w14:textId="4926FCC4" w:rsidR="00892FAD" w:rsidRDefault="00892FAD" w:rsidP="00046B31">
      <w:pPr>
        <w:contextualSpacing/>
        <w:jc w:val="center"/>
        <w:rPr>
          <w:rFonts w:ascii="HelveticaNeueLT Std" w:hAnsi="HelveticaNeueLT Std" w:cs="Arial"/>
          <w:szCs w:val="20"/>
        </w:rPr>
      </w:pPr>
    </w:p>
    <w:p w14:paraId="3690E582" w14:textId="1D066FAC" w:rsidR="00892FAD" w:rsidRPr="00892FAD" w:rsidRDefault="00892FAD" w:rsidP="00892FAD">
      <w:pPr>
        <w:contextualSpacing/>
        <w:rPr>
          <w:rFonts w:ascii="HelveticaNeueLT Std" w:hAnsi="HelveticaNeueLT Std" w:cs="Arial"/>
          <w:szCs w:val="20"/>
        </w:rPr>
      </w:pPr>
      <w:r w:rsidRPr="00892FAD">
        <w:rPr>
          <w:rFonts w:ascii="HelveticaNeueLT Std" w:hAnsi="HelveticaNeueLT Std" w:cs="Arial"/>
          <w:b/>
          <w:szCs w:val="20"/>
        </w:rPr>
        <w:t>Disclaimer</w:t>
      </w:r>
      <w:r w:rsidRPr="00892FAD">
        <w:rPr>
          <w:rFonts w:ascii="HelveticaNeueLT Std" w:hAnsi="HelveticaNeueLT Std" w:cs="Arial"/>
          <w:szCs w:val="20"/>
        </w:rPr>
        <w:t xml:space="preserve">: </w:t>
      </w:r>
      <w:r w:rsidR="00702DD5" w:rsidRPr="00D007DF">
        <w:rPr>
          <w:rFonts w:ascii="HelveticaNeueLT Std" w:hAnsi="HelveticaNeueLT Std" w:cs="Calibri"/>
        </w:rPr>
        <w:t xml:space="preserve">The techniques to be presented at </w:t>
      </w:r>
      <w:r w:rsidR="00702DD5">
        <w:rPr>
          <w:rFonts w:ascii="HelveticaNeueLT Std" w:hAnsi="HelveticaNeueLT Std" w:cs="Calibri"/>
        </w:rPr>
        <w:t>SAWC</w:t>
      </w:r>
      <w:r w:rsidR="00702DD5" w:rsidRPr="00D007DF">
        <w:rPr>
          <w:rFonts w:ascii="HelveticaNeueLT Std" w:hAnsi="HelveticaNeueLT Std" w:cs="Calibri"/>
        </w:rPr>
        <w:t xml:space="preserve"> are for informational purposes only and contain the opinions of and personal techniques practiced by the presenting physician</w:t>
      </w:r>
      <w:r w:rsidR="008E70BC">
        <w:rPr>
          <w:rFonts w:ascii="HelveticaNeueLT Std" w:hAnsi="HelveticaNeueLT Std" w:cs="Calibri"/>
        </w:rPr>
        <w:t>s</w:t>
      </w:r>
      <w:r w:rsidR="00702DD5" w:rsidRPr="00D007DF">
        <w:rPr>
          <w:rFonts w:ascii="HelveticaNeueLT Std" w:hAnsi="HelveticaNeueLT Std" w:cs="Calibri"/>
        </w:rPr>
        <w:t xml:space="preserve">. </w:t>
      </w:r>
      <w:r w:rsidRPr="00892FAD">
        <w:rPr>
          <w:rFonts w:ascii="HelveticaNeueLT Std" w:hAnsi="HelveticaNeueLT Std" w:cs="Arial"/>
          <w:szCs w:val="20"/>
        </w:rPr>
        <w:t>All educational content of the SAWC Spring Meeting is planned by its program committee, and SAWC does not endorse, promote, approve, or recommend the use of any products, devices, or services.</w:t>
      </w:r>
    </w:p>
    <w:p w14:paraId="77BBD8E5" w14:textId="77777777" w:rsidR="00892FAD" w:rsidRPr="0043387C" w:rsidRDefault="00892FAD" w:rsidP="00892FAD">
      <w:pPr>
        <w:contextualSpacing/>
        <w:rPr>
          <w:rFonts w:ascii="HelveticaNeueLT Std" w:hAnsi="HelveticaNeueLT Std" w:cs="Arial"/>
          <w:szCs w:val="20"/>
        </w:rPr>
      </w:pPr>
    </w:p>
    <w:sectPr w:rsidR="00892FAD" w:rsidRPr="004338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DE30A" w14:textId="77777777" w:rsidR="00005F3C" w:rsidRDefault="00005F3C" w:rsidP="002B21FB">
      <w:pPr>
        <w:spacing w:after="0" w:line="240" w:lineRule="auto"/>
      </w:pPr>
      <w:r>
        <w:separator/>
      </w:r>
    </w:p>
  </w:endnote>
  <w:endnote w:type="continuationSeparator" w:id="0">
    <w:p w14:paraId="1B716066" w14:textId="77777777" w:rsidR="00005F3C" w:rsidRDefault="00005F3C" w:rsidP="002B2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447F4" w14:textId="77777777" w:rsidR="00005F3C" w:rsidRDefault="00005F3C" w:rsidP="002B21FB">
      <w:pPr>
        <w:spacing w:after="0" w:line="240" w:lineRule="auto"/>
      </w:pPr>
      <w:r>
        <w:separator/>
      </w:r>
    </w:p>
  </w:footnote>
  <w:footnote w:type="continuationSeparator" w:id="0">
    <w:p w14:paraId="44EBE8FC" w14:textId="77777777" w:rsidR="00005F3C" w:rsidRDefault="00005F3C" w:rsidP="002B2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14D96"/>
    <w:multiLevelType w:val="multilevel"/>
    <w:tmpl w:val="6486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FF619D"/>
    <w:multiLevelType w:val="hybridMultilevel"/>
    <w:tmpl w:val="1BC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1849D4"/>
    <w:multiLevelType w:val="multilevel"/>
    <w:tmpl w:val="340293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05F"/>
    <w:rsid w:val="00005F3C"/>
    <w:rsid w:val="0001516E"/>
    <w:rsid w:val="00022165"/>
    <w:rsid w:val="000236DD"/>
    <w:rsid w:val="00030E32"/>
    <w:rsid w:val="00046B31"/>
    <w:rsid w:val="00057133"/>
    <w:rsid w:val="0006040A"/>
    <w:rsid w:val="000665FA"/>
    <w:rsid w:val="00070EB7"/>
    <w:rsid w:val="00072DC8"/>
    <w:rsid w:val="00077D45"/>
    <w:rsid w:val="00081EC6"/>
    <w:rsid w:val="00082B71"/>
    <w:rsid w:val="00084319"/>
    <w:rsid w:val="0008464F"/>
    <w:rsid w:val="000A76A2"/>
    <w:rsid w:val="000B1663"/>
    <w:rsid w:val="000B6E64"/>
    <w:rsid w:val="000C4146"/>
    <w:rsid w:val="000D227F"/>
    <w:rsid w:val="000D41FC"/>
    <w:rsid w:val="000D42AF"/>
    <w:rsid w:val="000D5C80"/>
    <w:rsid w:val="000E06AB"/>
    <w:rsid w:val="000F6704"/>
    <w:rsid w:val="000F7AB7"/>
    <w:rsid w:val="001043D3"/>
    <w:rsid w:val="00105754"/>
    <w:rsid w:val="00106033"/>
    <w:rsid w:val="001060AF"/>
    <w:rsid w:val="00107EFD"/>
    <w:rsid w:val="00115BD4"/>
    <w:rsid w:val="001213B1"/>
    <w:rsid w:val="00121C5D"/>
    <w:rsid w:val="00122685"/>
    <w:rsid w:val="00123A9A"/>
    <w:rsid w:val="00124FEE"/>
    <w:rsid w:val="0013689C"/>
    <w:rsid w:val="00140F27"/>
    <w:rsid w:val="00145186"/>
    <w:rsid w:val="0014619F"/>
    <w:rsid w:val="0015426F"/>
    <w:rsid w:val="00165C57"/>
    <w:rsid w:val="00173AA4"/>
    <w:rsid w:val="00182006"/>
    <w:rsid w:val="0018291F"/>
    <w:rsid w:val="00183A38"/>
    <w:rsid w:val="00183BBA"/>
    <w:rsid w:val="001920EC"/>
    <w:rsid w:val="00194FED"/>
    <w:rsid w:val="00197C75"/>
    <w:rsid w:val="001A05A8"/>
    <w:rsid w:val="001B094C"/>
    <w:rsid w:val="001B4644"/>
    <w:rsid w:val="001B5B03"/>
    <w:rsid w:val="001B67A3"/>
    <w:rsid w:val="001B78D6"/>
    <w:rsid w:val="001B7D1E"/>
    <w:rsid w:val="001C6050"/>
    <w:rsid w:val="001C6D81"/>
    <w:rsid w:val="001D3FD2"/>
    <w:rsid w:val="001D46BA"/>
    <w:rsid w:val="001D7451"/>
    <w:rsid w:val="001D7A8F"/>
    <w:rsid w:val="001E2319"/>
    <w:rsid w:val="001E6DC9"/>
    <w:rsid w:val="00203317"/>
    <w:rsid w:val="002051F6"/>
    <w:rsid w:val="00206474"/>
    <w:rsid w:val="002079C2"/>
    <w:rsid w:val="002103E4"/>
    <w:rsid w:val="0021048F"/>
    <w:rsid w:val="00210688"/>
    <w:rsid w:val="00210A6E"/>
    <w:rsid w:val="00220D0F"/>
    <w:rsid w:val="002220A6"/>
    <w:rsid w:val="00226B7C"/>
    <w:rsid w:val="00230772"/>
    <w:rsid w:val="0023206B"/>
    <w:rsid w:val="00233CCB"/>
    <w:rsid w:val="0023474D"/>
    <w:rsid w:val="0023752D"/>
    <w:rsid w:val="00242B7E"/>
    <w:rsid w:val="00254FD8"/>
    <w:rsid w:val="00263604"/>
    <w:rsid w:val="00264BDC"/>
    <w:rsid w:val="00271068"/>
    <w:rsid w:val="0027121F"/>
    <w:rsid w:val="00271304"/>
    <w:rsid w:val="00273174"/>
    <w:rsid w:val="0027451B"/>
    <w:rsid w:val="002A1CF0"/>
    <w:rsid w:val="002A421A"/>
    <w:rsid w:val="002A786A"/>
    <w:rsid w:val="002B1A1A"/>
    <w:rsid w:val="002B21FB"/>
    <w:rsid w:val="002C6A89"/>
    <w:rsid w:val="002E1F23"/>
    <w:rsid w:val="002E20F9"/>
    <w:rsid w:val="002E4ED9"/>
    <w:rsid w:val="002E5EBB"/>
    <w:rsid w:val="002F195A"/>
    <w:rsid w:val="002F1C39"/>
    <w:rsid w:val="002F21DF"/>
    <w:rsid w:val="002F296D"/>
    <w:rsid w:val="00300FFB"/>
    <w:rsid w:val="003052DB"/>
    <w:rsid w:val="00311E61"/>
    <w:rsid w:val="00316E3A"/>
    <w:rsid w:val="0032227B"/>
    <w:rsid w:val="003250DD"/>
    <w:rsid w:val="003350AD"/>
    <w:rsid w:val="003434DB"/>
    <w:rsid w:val="0034386B"/>
    <w:rsid w:val="00350C7F"/>
    <w:rsid w:val="00351070"/>
    <w:rsid w:val="0035202C"/>
    <w:rsid w:val="00366478"/>
    <w:rsid w:val="003741BA"/>
    <w:rsid w:val="00374A25"/>
    <w:rsid w:val="00376B9B"/>
    <w:rsid w:val="00383850"/>
    <w:rsid w:val="00390E80"/>
    <w:rsid w:val="0039242F"/>
    <w:rsid w:val="003A00A2"/>
    <w:rsid w:val="003A03CA"/>
    <w:rsid w:val="003A1360"/>
    <w:rsid w:val="003A472A"/>
    <w:rsid w:val="003B0E3D"/>
    <w:rsid w:val="003B1C66"/>
    <w:rsid w:val="003B6580"/>
    <w:rsid w:val="003C1010"/>
    <w:rsid w:val="003C2D93"/>
    <w:rsid w:val="003C6F02"/>
    <w:rsid w:val="003D41C8"/>
    <w:rsid w:val="003E25B9"/>
    <w:rsid w:val="003E473E"/>
    <w:rsid w:val="003F546B"/>
    <w:rsid w:val="003F65C8"/>
    <w:rsid w:val="004014A7"/>
    <w:rsid w:val="00402771"/>
    <w:rsid w:val="00404BAB"/>
    <w:rsid w:val="00407B87"/>
    <w:rsid w:val="00407FAA"/>
    <w:rsid w:val="0041075C"/>
    <w:rsid w:val="00415F7A"/>
    <w:rsid w:val="004226C3"/>
    <w:rsid w:val="004250C6"/>
    <w:rsid w:val="00430565"/>
    <w:rsid w:val="0043387C"/>
    <w:rsid w:val="00435BBE"/>
    <w:rsid w:val="004379C1"/>
    <w:rsid w:val="004425C4"/>
    <w:rsid w:val="00446F43"/>
    <w:rsid w:val="00447248"/>
    <w:rsid w:val="00454BD1"/>
    <w:rsid w:val="00455956"/>
    <w:rsid w:val="00457B34"/>
    <w:rsid w:val="00461D49"/>
    <w:rsid w:val="004679A1"/>
    <w:rsid w:val="004761A8"/>
    <w:rsid w:val="00477ACD"/>
    <w:rsid w:val="00477E28"/>
    <w:rsid w:val="004A137A"/>
    <w:rsid w:val="004B0568"/>
    <w:rsid w:val="004C0992"/>
    <w:rsid w:val="004C2DB9"/>
    <w:rsid w:val="004D34D8"/>
    <w:rsid w:val="004D3BF8"/>
    <w:rsid w:val="004E766C"/>
    <w:rsid w:val="004F75D0"/>
    <w:rsid w:val="004F7BCA"/>
    <w:rsid w:val="0050474B"/>
    <w:rsid w:val="00506437"/>
    <w:rsid w:val="00513FA9"/>
    <w:rsid w:val="00516A2A"/>
    <w:rsid w:val="005203A5"/>
    <w:rsid w:val="0052091F"/>
    <w:rsid w:val="00532494"/>
    <w:rsid w:val="00534C7B"/>
    <w:rsid w:val="00537FAA"/>
    <w:rsid w:val="00546364"/>
    <w:rsid w:val="005468C3"/>
    <w:rsid w:val="005504F2"/>
    <w:rsid w:val="00550657"/>
    <w:rsid w:val="0055093B"/>
    <w:rsid w:val="00554944"/>
    <w:rsid w:val="00556607"/>
    <w:rsid w:val="00567593"/>
    <w:rsid w:val="00573F95"/>
    <w:rsid w:val="00582314"/>
    <w:rsid w:val="0058638B"/>
    <w:rsid w:val="005A3BF9"/>
    <w:rsid w:val="005B5404"/>
    <w:rsid w:val="005C7D0B"/>
    <w:rsid w:val="005E7FE1"/>
    <w:rsid w:val="005F34DC"/>
    <w:rsid w:val="006000E5"/>
    <w:rsid w:val="00602526"/>
    <w:rsid w:val="00603BAE"/>
    <w:rsid w:val="00604494"/>
    <w:rsid w:val="00614C62"/>
    <w:rsid w:val="006206BD"/>
    <w:rsid w:val="006245C3"/>
    <w:rsid w:val="00626F60"/>
    <w:rsid w:val="00627FE1"/>
    <w:rsid w:val="006305E2"/>
    <w:rsid w:val="00631611"/>
    <w:rsid w:val="00632B39"/>
    <w:rsid w:val="006470F7"/>
    <w:rsid w:val="00653680"/>
    <w:rsid w:val="006564B7"/>
    <w:rsid w:val="00656663"/>
    <w:rsid w:val="00666FD4"/>
    <w:rsid w:val="00672541"/>
    <w:rsid w:val="00674EE0"/>
    <w:rsid w:val="0067728C"/>
    <w:rsid w:val="00680542"/>
    <w:rsid w:val="00680844"/>
    <w:rsid w:val="00681916"/>
    <w:rsid w:val="00682401"/>
    <w:rsid w:val="006829A0"/>
    <w:rsid w:val="0068497F"/>
    <w:rsid w:val="0069011E"/>
    <w:rsid w:val="00692D93"/>
    <w:rsid w:val="006940D1"/>
    <w:rsid w:val="006A3E07"/>
    <w:rsid w:val="006A6355"/>
    <w:rsid w:val="006B63C4"/>
    <w:rsid w:val="006B6B21"/>
    <w:rsid w:val="006C33C6"/>
    <w:rsid w:val="006C3685"/>
    <w:rsid w:val="006C6805"/>
    <w:rsid w:val="006D102B"/>
    <w:rsid w:val="006D6CA0"/>
    <w:rsid w:val="006E094A"/>
    <w:rsid w:val="006F2951"/>
    <w:rsid w:val="006F2C2D"/>
    <w:rsid w:val="006F2EE2"/>
    <w:rsid w:val="00702DD5"/>
    <w:rsid w:val="00703447"/>
    <w:rsid w:val="00704351"/>
    <w:rsid w:val="007103AA"/>
    <w:rsid w:val="00712EA9"/>
    <w:rsid w:val="00721E30"/>
    <w:rsid w:val="007227E8"/>
    <w:rsid w:val="0072291F"/>
    <w:rsid w:val="007260F9"/>
    <w:rsid w:val="00727D67"/>
    <w:rsid w:val="00730602"/>
    <w:rsid w:val="00734FE3"/>
    <w:rsid w:val="007358BA"/>
    <w:rsid w:val="0073623E"/>
    <w:rsid w:val="00740A0F"/>
    <w:rsid w:val="00741629"/>
    <w:rsid w:val="007577D7"/>
    <w:rsid w:val="00762D42"/>
    <w:rsid w:val="00767D25"/>
    <w:rsid w:val="007716CF"/>
    <w:rsid w:val="007825A7"/>
    <w:rsid w:val="007901F8"/>
    <w:rsid w:val="007928F0"/>
    <w:rsid w:val="00793525"/>
    <w:rsid w:val="00794239"/>
    <w:rsid w:val="007955CE"/>
    <w:rsid w:val="007A219D"/>
    <w:rsid w:val="007A3B37"/>
    <w:rsid w:val="007A5EF2"/>
    <w:rsid w:val="007B1804"/>
    <w:rsid w:val="007B50D9"/>
    <w:rsid w:val="007B6188"/>
    <w:rsid w:val="007B6F70"/>
    <w:rsid w:val="007C1157"/>
    <w:rsid w:val="007C1D8A"/>
    <w:rsid w:val="007D0624"/>
    <w:rsid w:val="007D174D"/>
    <w:rsid w:val="007D3212"/>
    <w:rsid w:val="007E14CC"/>
    <w:rsid w:val="007E3D92"/>
    <w:rsid w:val="007E421D"/>
    <w:rsid w:val="007F254C"/>
    <w:rsid w:val="007F37D8"/>
    <w:rsid w:val="00806638"/>
    <w:rsid w:val="00810C15"/>
    <w:rsid w:val="00813B7C"/>
    <w:rsid w:val="008203A3"/>
    <w:rsid w:val="0083347C"/>
    <w:rsid w:val="0083370F"/>
    <w:rsid w:val="00833C1C"/>
    <w:rsid w:val="0083516E"/>
    <w:rsid w:val="00840AFA"/>
    <w:rsid w:val="00852ED8"/>
    <w:rsid w:val="008537D5"/>
    <w:rsid w:val="00856505"/>
    <w:rsid w:val="00857BD6"/>
    <w:rsid w:val="008603CB"/>
    <w:rsid w:val="00866C49"/>
    <w:rsid w:val="0087040D"/>
    <w:rsid w:val="008705F8"/>
    <w:rsid w:val="008708F1"/>
    <w:rsid w:val="00871501"/>
    <w:rsid w:val="008767F3"/>
    <w:rsid w:val="00876F9F"/>
    <w:rsid w:val="00892FAD"/>
    <w:rsid w:val="00897AE7"/>
    <w:rsid w:val="008A01CB"/>
    <w:rsid w:val="008A5EB7"/>
    <w:rsid w:val="008B068B"/>
    <w:rsid w:val="008B2FA2"/>
    <w:rsid w:val="008B4789"/>
    <w:rsid w:val="008C39C5"/>
    <w:rsid w:val="008C3AFE"/>
    <w:rsid w:val="008C54DC"/>
    <w:rsid w:val="008D0C0E"/>
    <w:rsid w:val="008D1B4D"/>
    <w:rsid w:val="008D65F4"/>
    <w:rsid w:val="008D76FD"/>
    <w:rsid w:val="008E3881"/>
    <w:rsid w:val="008E3E79"/>
    <w:rsid w:val="008E54C9"/>
    <w:rsid w:val="008E5B0D"/>
    <w:rsid w:val="008E70BC"/>
    <w:rsid w:val="008E71FA"/>
    <w:rsid w:val="008E7C43"/>
    <w:rsid w:val="008F1596"/>
    <w:rsid w:val="008F18E4"/>
    <w:rsid w:val="008F5707"/>
    <w:rsid w:val="008F583B"/>
    <w:rsid w:val="008F63AA"/>
    <w:rsid w:val="009025E5"/>
    <w:rsid w:val="00907B3A"/>
    <w:rsid w:val="0091204F"/>
    <w:rsid w:val="00931552"/>
    <w:rsid w:val="00933B21"/>
    <w:rsid w:val="00935123"/>
    <w:rsid w:val="009365F0"/>
    <w:rsid w:val="00941EC1"/>
    <w:rsid w:val="00944F5C"/>
    <w:rsid w:val="0095632E"/>
    <w:rsid w:val="00961CB1"/>
    <w:rsid w:val="0097044C"/>
    <w:rsid w:val="00971427"/>
    <w:rsid w:val="00975FA7"/>
    <w:rsid w:val="00980429"/>
    <w:rsid w:val="0098087C"/>
    <w:rsid w:val="00986813"/>
    <w:rsid w:val="0098752A"/>
    <w:rsid w:val="00996ADE"/>
    <w:rsid w:val="009A5CE4"/>
    <w:rsid w:val="009C116C"/>
    <w:rsid w:val="009C21A2"/>
    <w:rsid w:val="009C62DE"/>
    <w:rsid w:val="009C72D6"/>
    <w:rsid w:val="009D5582"/>
    <w:rsid w:val="009E4E14"/>
    <w:rsid w:val="009F4085"/>
    <w:rsid w:val="00A0074D"/>
    <w:rsid w:val="00A23F9E"/>
    <w:rsid w:val="00A31AF4"/>
    <w:rsid w:val="00A31D1C"/>
    <w:rsid w:val="00A35685"/>
    <w:rsid w:val="00A44226"/>
    <w:rsid w:val="00A46EE0"/>
    <w:rsid w:val="00A56452"/>
    <w:rsid w:val="00A5715C"/>
    <w:rsid w:val="00A6199D"/>
    <w:rsid w:val="00A672E0"/>
    <w:rsid w:val="00A67CE0"/>
    <w:rsid w:val="00A7034A"/>
    <w:rsid w:val="00A7103D"/>
    <w:rsid w:val="00A74E88"/>
    <w:rsid w:val="00A8024D"/>
    <w:rsid w:val="00A8179C"/>
    <w:rsid w:val="00A8202E"/>
    <w:rsid w:val="00A83233"/>
    <w:rsid w:val="00A86580"/>
    <w:rsid w:val="00A87CEB"/>
    <w:rsid w:val="00A90783"/>
    <w:rsid w:val="00A95AFD"/>
    <w:rsid w:val="00AA088B"/>
    <w:rsid w:val="00AA0D96"/>
    <w:rsid w:val="00AA2B88"/>
    <w:rsid w:val="00AA3BF2"/>
    <w:rsid w:val="00AA3DFA"/>
    <w:rsid w:val="00AA7CA4"/>
    <w:rsid w:val="00AB010A"/>
    <w:rsid w:val="00AB0B30"/>
    <w:rsid w:val="00AB1271"/>
    <w:rsid w:val="00AB7990"/>
    <w:rsid w:val="00AC3084"/>
    <w:rsid w:val="00AC6616"/>
    <w:rsid w:val="00AD0C43"/>
    <w:rsid w:val="00AD6AF8"/>
    <w:rsid w:val="00AD7970"/>
    <w:rsid w:val="00AE6538"/>
    <w:rsid w:val="00AE7EA8"/>
    <w:rsid w:val="00AF0641"/>
    <w:rsid w:val="00AF3759"/>
    <w:rsid w:val="00B05456"/>
    <w:rsid w:val="00B07A2B"/>
    <w:rsid w:val="00B1052F"/>
    <w:rsid w:val="00B231F3"/>
    <w:rsid w:val="00B257AA"/>
    <w:rsid w:val="00B331B9"/>
    <w:rsid w:val="00B40FFA"/>
    <w:rsid w:val="00B43EFB"/>
    <w:rsid w:val="00B4617A"/>
    <w:rsid w:val="00B506A9"/>
    <w:rsid w:val="00B539E6"/>
    <w:rsid w:val="00B564BC"/>
    <w:rsid w:val="00B61DB7"/>
    <w:rsid w:val="00B6288E"/>
    <w:rsid w:val="00B6790A"/>
    <w:rsid w:val="00B67AA6"/>
    <w:rsid w:val="00B734B8"/>
    <w:rsid w:val="00B73931"/>
    <w:rsid w:val="00B8139E"/>
    <w:rsid w:val="00B81CA1"/>
    <w:rsid w:val="00B84668"/>
    <w:rsid w:val="00B8708E"/>
    <w:rsid w:val="00B917EB"/>
    <w:rsid w:val="00B91B32"/>
    <w:rsid w:val="00BB0860"/>
    <w:rsid w:val="00BB1C31"/>
    <w:rsid w:val="00BB7479"/>
    <w:rsid w:val="00BC0BF5"/>
    <w:rsid w:val="00BC5B19"/>
    <w:rsid w:val="00BC7DF6"/>
    <w:rsid w:val="00BD1D3D"/>
    <w:rsid w:val="00BD59BA"/>
    <w:rsid w:val="00BD6F16"/>
    <w:rsid w:val="00BE3924"/>
    <w:rsid w:val="00BE5094"/>
    <w:rsid w:val="00BF482A"/>
    <w:rsid w:val="00BF7D3F"/>
    <w:rsid w:val="00BF7F83"/>
    <w:rsid w:val="00C00DBA"/>
    <w:rsid w:val="00C0364D"/>
    <w:rsid w:val="00C05B40"/>
    <w:rsid w:val="00C06D3F"/>
    <w:rsid w:val="00C1220D"/>
    <w:rsid w:val="00C125C3"/>
    <w:rsid w:val="00C14AD0"/>
    <w:rsid w:val="00C318DD"/>
    <w:rsid w:val="00C3267A"/>
    <w:rsid w:val="00C33E1F"/>
    <w:rsid w:val="00C33F1E"/>
    <w:rsid w:val="00C37233"/>
    <w:rsid w:val="00C43016"/>
    <w:rsid w:val="00C456AC"/>
    <w:rsid w:val="00C46CE7"/>
    <w:rsid w:val="00C46E3F"/>
    <w:rsid w:val="00C47A8C"/>
    <w:rsid w:val="00C534B9"/>
    <w:rsid w:val="00C53D42"/>
    <w:rsid w:val="00C57F7F"/>
    <w:rsid w:val="00C638ED"/>
    <w:rsid w:val="00C73846"/>
    <w:rsid w:val="00C745E0"/>
    <w:rsid w:val="00C803B3"/>
    <w:rsid w:val="00C85CCB"/>
    <w:rsid w:val="00C90E1F"/>
    <w:rsid w:val="00C91079"/>
    <w:rsid w:val="00C92CE5"/>
    <w:rsid w:val="00CA21C0"/>
    <w:rsid w:val="00CA405F"/>
    <w:rsid w:val="00CA5261"/>
    <w:rsid w:val="00CA5701"/>
    <w:rsid w:val="00CB4081"/>
    <w:rsid w:val="00CB5605"/>
    <w:rsid w:val="00CB6923"/>
    <w:rsid w:val="00CB718A"/>
    <w:rsid w:val="00CC1033"/>
    <w:rsid w:val="00CC432F"/>
    <w:rsid w:val="00CC71FD"/>
    <w:rsid w:val="00CD0C7B"/>
    <w:rsid w:val="00CD1664"/>
    <w:rsid w:val="00CD3D8C"/>
    <w:rsid w:val="00CD73FB"/>
    <w:rsid w:val="00CE0B4A"/>
    <w:rsid w:val="00CE7D66"/>
    <w:rsid w:val="00CF4CCB"/>
    <w:rsid w:val="00CF6A35"/>
    <w:rsid w:val="00CF7FC6"/>
    <w:rsid w:val="00D02E35"/>
    <w:rsid w:val="00D117C5"/>
    <w:rsid w:val="00D1341F"/>
    <w:rsid w:val="00D16CB2"/>
    <w:rsid w:val="00D177BB"/>
    <w:rsid w:val="00D243AB"/>
    <w:rsid w:val="00D2481C"/>
    <w:rsid w:val="00D35D81"/>
    <w:rsid w:val="00D40288"/>
    <w:rsid w:val="00D40BBB"/>
    <w:rsid w:val="00D4604D"/>
    <w:rsid w:val="00D74202"/>
    <w:rsid w:val="00D74FDA"/>
    <w:rsid w:val="00D8063F"/>
    <w:rsid w:val="00D8520C"/>
    <w:rsid w:val="00DA0B0E"/>
    <w:rsid w:val="00DA2502"/>
    <w:rsid w:val="00DB2912"/>
    <w:rsid w:val="00DB4B3E"/>
    <w:rsid w:val="00DC277E"/>
    <w:rsid w:val="00DC286A"/>
    <w:rsid w:val="00DC44AA"/>
    <w:rsid w:val="00DC754B"/>
    <w:rsid w:val="00DD3303"/>
    <w:rsid w:val="00DD4400"/>
    <w:rsid w:val="00DD49FD"/>
    <w:rsid w:val="00DD57A9"/>
    <w:rsid w:val="00DE068A"/>
    <w:rsid w:val="00DE38F3"/>
    <w:rsid w:val="00DF0587"/>
    <w:rsid w:val="00DF1273"/>
    <w:rsid w:val="00DF6B1E"/>
    <w:rsid w:val="00E05224"/>
    <w:rsid w:val="00E07C25"/>
    <w:rsid w:val="00E11471"/>
    <w:rsid w:val="00E11952"/>
    <w:rsid w:val="00E20D8F"/>
    <w:rsid w:val="00E24728"/>
    <w:rsid w:val="00E25F00"/>
    <w:rsid w:val="00E3004B"/>
    <w:rsid w:val="00E326DB"/>
    <w:rsid w:val="00E3692C"/>
    <w:rsid w:val="00E56F60"/>
    <w:rsid w:val="00E57404"/>
    <w:rsid w:val="00E816A3"/>
    <w:rsid w:val="00E90A3F"/>
    <w:rsid w:val="00E911BA"/>
    <w:rsid w:val="00E94798"/>
    <w:rsid w:val="00E947AD"/>
    <w:rsid w:val="00EA7951"/>
    <w:rsid w:val="00EB0CEA"/>
    <w:rsid w:val="00EB3001"/>
    <w:rsid w:val="00EB348B"/>
    <w:rsid w:val="00EB4513"/>
    <w:rsid w:val="00EB49F5"/>
    <w:rsid w:val="00EC3970"/>
    <w:rsid w:val="00EC7AA8"/>
    <w:rsid w:val="00ED0EC8"/>
    <w:rsid w:val="00ED27EC"/>
    <w:rsid w:val="00ED70BE"/>
    <w:rsid w:val="00EE1D10"/>
    <w:rsid w:val="00EE300B"/>
    <w:rsid w:val="00EE747F"/>
    <w:rsid w:val="00F0115B"/>
    <w:rsid w:val="00F04DF9"/>
    <w:rsid w:val="00F07D12"/>
    <w:rsid w:val="00F10839"/>
    <w:rsid w:val="00F15103"/>
    <w:rsid w:val="00F15293"/>
    <w:rsid w:val="00F159AA"/>
    <w:rsid w:val="00F2083A"/>
    <w:rsid w:val="00F25676"/>
    <w:rsid w:val="00F2715A"/>
    <w:rsid w:val="00F353D8"/>
    <w:rsid w:val="00F50356"/>
    <w:rsid w:val="00F548C6"/>
    <w:rsid w:val="00F635E5"/>
    <w:rsid w:val="00F70357"/>
    <w:rsid w:val="00F71E59"/>
    <w:rsid w:val="00F7287B"/>
    <w:rsid w:val="00F72C94"/>
    <w:rsid w:val="00F81A76"/>
    <w:rsid w:val="00F86867"/>
    <w:rsid w:val="00F93CE4"/>
    <w:rsid w:val="00F95F23"/>
    <w:rsid w:val="00FA020B"/>
    <w:rsid w:val="00FA446B"/>
    <w:rsid w:val="00FB23EF"/>
    <w:rsid w:val="00FB2560"/>
    <w:rsid w:val="00FB44AC"/>
    <w:rsid w:val="00FC11D7"/>
    <w:rsid w:val="00FC54A2"/>
    <w:rsid w:val="00FC7C3D"/>
    <w:rsid w:val="00FD039B"/>
    <w:rsid w:val="00FD150D"/>
    <w:rsid w:val="00FD3523"/>
    <w:rsid w:val="00FD6D7A"/>
    <w:rsid w:val="00FD6EBC"/>
    <w:rsid w:val="00FE0F84"/>
    <w:rsid w:val="00FE1352"/>
    <w:rsid w:val="00FE2140"/>
    <w:rsid w:val="00FE5953"/>
    <w:rsid w:val="00FF2728"/>
    <w:rsid w:val="00FF6F24"/>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0422"/>
  <w15:chartTrackingRefBased/>
  <w15:docId w15:val="{08FDF540-9AE3-49AD-9E58-75A9182F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56AC"/>
    <w:rPr>
      <w:sz w:val="16"/>
      <w:szCs w:val="16"/>
    </w:rPr>
  </w:style>
  <w:style w:type="paragraph" w:styleId="CommentText">
    <w:name w:val="annotation text"/>
    <w:basedOn w:val="Normal"/>
    <w:link w:val="CommentTextChar"/>
    <w:uiPriority w:val="99"/>
    <w:semiHidden/>
    <w:unhideWhenUsed/>
    <w:rsid w:val="00C456AC"/>
    <w:pPr>
      <w:spacing w:line="240" w:lineRule="auto"/>
    </w:pPr>
    <w:rPr>
      <w:sz w:val="20"/>
      <w:szCs w:val="20"/>
    </w:rPr>
  </w:style>
  <w:style w:type="character" w:customStyle="1" w:styleId="CommentTextChar">
    <w:name w:val="Comment Text Char"/>
    <w:basedOn w:val="DefaultParagraphFont"/>
    <w:link w:val="CommentText"/>
    <w:uiPriority w:val="99"/>
    <w:semiHidden/>
    <w:rsid w:val="00C456AC"/>
    <w:rPr>
      <w:sz w:val="20"/>
      <w:szCs w:val="20"/>
    </w:rPr>
  </w:style>
  <w:style w:type="paragraph" w:styleId="CommentSubject">
    <w:name w:val="annotation subject"/>
    <w:basedOn w:val="CommentText"/>
    <w:next w:val="CommentText"/>
    <w:link w:val="CommentSubjectChar"/>
    <w:uiPriority w:val="99"/>
    <w:semiHidden/>
    <w:unhideWhenUsed/>
    <w:rsid w:val="00C456AC"/>
    <w:rPr>
      <w:b/>
      <w:bCs/>
    </w:rPr>
  </w:style>
  <w:style w:type="character" w:customStyle="1" w:styleId="CommentSubjectChar">
    <w:name w:val="Comment Subject Char"/>
    <w:basedOn w:val="CommentTextChar"/>
    <w:link w:val="CommentSubject"/>
    <w:uiPriority w:val="99"/>
    <w:semiHidden/>
    <w:rsid w:val="00C456AC"/>
    <w:rPr>
      <w:b/>
      <w:bCs/>
      <w:sz w:val="20"/>
      <w:szCs w:val="20"/>
    </w:rPr>
  </w:style>
  <w:style w:type="paragraph" w:styleId="BalloonText">
    <w:name w:val="Balloon Text"/>
    <w:basedOn w:val="Normal"/>
    <w:link w:val="BalloonTextChar"/>
    <w:uiPriority w:val="99"/>
    <w:semiHidden/>
    <w:unhideWhenUsed/>
    <w:rsid w:val="00C45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6AC"/>
    <w:rPr>
      <w:rFonts w:ascii="Segoe UI" w:hAnsi="Segoe UI" w:cs="Segoe UI"/>
      <w:sz w:val="18"/>
      <w:szCs w:val="18"/>
    </w:rPr>
  </w:style>
  <w:style w:type="paragraph" w:styleId="ListParagraph">
    <w:name w:val="List Paragraph"/>
    <w:basedOn w:val="Normal"/>
    <w:uiPriority w:val="34"/>
    <w:qFormat/>
    <w:rsid w:val="008F1596"/>
    <w:pPr>
      <w:ind w:left="720"/>
      <w:contextualSpacing/>
    </w:pPr>
  </w:style>
  <w:style w:type="character" w:styleId="Hyperlink">
    <w:name w:val="Hyperlink"/>
    <w:basedOn w:val="DefaultParagraphFont"/>
    <w:semiHidden/>
    <w:rsid w:val="00046B31"/>
    <w:rPr>
      <w:color w:val="0000FF"/>
      <w:u w:val="single"/>
    </w:rPr>
  </w:style>
  <w:style w:type="character" w:customStyle="1" w:styleId="UnresolvedMention1">
    <w:name w:val="Unresolved Mention1"/>
    <w:basedOn w:val="DefaultParagraphFont"/>
    <w:uiPriority w:val="99"/>
    <w:semiHidden/>
    <w:unhideWhenUsed/>
    <w:rsid w:val="008D0C0E"/>
    <w:rPr>
      <w:color w:val="605E5C"/>
      <w:shd w:val="clear" w:color="auto" w:fill="E1DFDD"/>
    </w:rPr>
  </w:style>
  <w:style w:type="paragraph" w:customStyle="1" w:styleId="xmsolistparagraph">
    <w:name w:val="x_msolistparagraph"/>
    <w:basedOn w:val="Normal"/>
    <w:rsid w:val="00F71E59"/>
    <w:pPr>
      <w:spacing w:before="100" w:beforeAutospacing="1" w:after="100" w:afterAutospacing="1" w:line="240" w:lineRule="auto"/>
    </w:pPr>
    <w:rPr>
      <w:rFonts w:ascii="Calibri" w:hAnsi="Calibri" w:cs="Calibri"/>
    </w:rPr>
  </w:style>
  <w:style w:type="character" w:customStyle="1" w:styleId="EndNoteBibliographyChar">
    <w:name w:val="EndNote Bibliography Char"/>
    <w:basedOn w:val="DefaultParagraphFont"/>
    <w:link w:val="EndNoteBibliography"/>
    <w:locked/>
    <w:rsid w:val="00F71E59"/>
    <w:rPr>
      <w:rFonts w:ascii="Calibri" w:hAnsi="Calibri" w:cs="Calibri"/>
    </w:rPr>
  </w:style>
  <w:style w:type="paragraph" w:customStyle="1" w:styleId="EndNoteBibliography">
    <w:name w:val="EndNote Bibliography"/>
    <w:basedOn w:val="Normal"/>
    <w:link w:val="EndNoteBibliographyChar"/>
    <w:rsid w:val="00F71E59"/>
    <w:pPr>
      <w:spacing w:line="240" w:lineRule="auto"/>
    </w:pPr>
    <w:rPr>
      <w:rFonts w:ascii="Calibri" w:hAnsi="Calibri" w:cs="Calibri"/>
    </w:rPr>
  </w:style>
  <w:style w:type="paragraph" w:styleId="NormalWeb">
    <w:name w:val="Normal (Web)"/>
    <w:basedOn w:val="Normal"/>
    <w:uiPriority w:val="99"/>
    <w:unhideWhenUsed/>
    <w:rsid w:val="00D40BB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F0587"/>
    <w:rPr>
      <w:color w:val="954F72" w:themeColor="followedHyperlink"/>
      <w:u w:val="single"/>
    </w:rPr>
  </w:style>
  <w:style w:type="paragraph" w:styleId="Header">
    <w:name w:val="header"/>
    <w:basedOn w:val="Normal"/>
    <w:link w:val="HeaderChar"/>
    <w:uiPriority w:val="99"/>
    <w:unhideWhenUsed/>
    <w:rsid w:val="002B2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FB"/>
  </w:style>
  <w:style w:type="paragraph" w:styleId="Footer">
    <w:name w:val="footer"/>
    <w:basedOn w:val="Normal"/>
    <w:link w:val="FooterChar"/>
    <w:uiPriority w:val="99"/>
    <w:unhideWhenUsed/>
    <w:rsid w:val="002B2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895942">
      <w:bodyDiv w:val="1"/>
      <w:marLeft w:val="0"/>
      <w:marRight w:val="0"/>
      <w:marTop w:val="0"/>
      <w:marBottom w:val="0"/>
      <w:divBdr>
        <w:top w:val="none" w:sz="0" w:space="0" w:color="auto"/>
        <w:left w:val="none" w:sz="0" w:space="0" w:color="auto"/>
        <w:bottom w:val="none" w:sz="0" w:space="0" w:color="auto"/>
        <w:right w:val="none" w:sz="0" w:space="0" w:color="auto"/>
      </w:divBdr>
    </w:div>
    <w:div w:id="344401744">
      <w:bodyDiv w:val="1"/>
      <w:marLeft w:val="0"/>
      <w:marRight w:val="0"/>
      <w:marTop w:val="0"/>
      <w:marBottom w:val="0"/>
      <w:divBdr>
        <w:top w:val="none" w:sz="0" w:space="0" w:color="auto"/>
        <w:left w:val="none" w:sz="0" w:space="0" w:color="auto"/>
        <w:bottom w:val="none" w:sz="0" w:space="0" w:color="auto"/>
        <w:right w:val="none" w:sz="0" w:space="0" w:color="auto"/>
      </w:divBdr>
    </w:div>
    <w:div w:id="513687685">
      <w:bodyDiv w:val="1"/>
      <w:marLeft w:val="0"/>
      <w:marRight w:val="0"/>
      <w:marTop w:val="0"/>
      <w:marBottom w:val="0"/>
      <w:divBdr>
        <w:top w:val="none" w:sz="0" w:space="0" w:color="auto"/>
        <w:left w:val="none" w:sz="0" w:space="0" w:color="auto"/>
        <w:bottom w:val="none" w:sz="0" w:space="0" w:color="auto"/>
        <w:right w:val="none" w:sz="0" w:space="0" w:color="auto"/>
      </w:divBdr>
    </w:div>
    <w:div w:id="524366877">
      <w:bodyDiv w:val="1"/>
      <w:marLeft w:val="0"/>
      <w:marRight w:val="0"/>
      <w:marTop w:val="0"/>
      <w:marBottom w:val="0"/>
      <w:divBdr>
        <w:top w:val="none" w:sz="0" w:space="0" w:color="auto"/>
        <w:left w:val="none" w:sz="0" w:space="0" w:color="auto"/>
        <w:bottom w:val="none" w:sz="0" w:space="0" w:color="auto"/>
        <w:right w:val="none" w:sz="0" w:space="0" w:color="auto"/>
      </w:divBdr>
    </w:div>
    <w:div w:id="886186302">
      <w:bodyDiv w:val="1"/>
      <w:marLeft w:val="0"/>
      <w:marRight w:val="0"/>
      <w:marTop w:val="0"/>
      <w:marBottom w:val="0"/>
      <w:divBdr>
        <w:top w:val="none" w:sz="0" w:space="0" w:color="auto"/>
        <w:left w:val="none" w:sz="0" w:space="0" w:color="auto"/>
        <w:bottom w:val="none" w:sz="0" w:space="0" w:color="auto"/>
        <w:right w:val="none" w:sz="0" w:space="0" w:color="auto"/>
      </w:divBdr>
    </w:div>
    <w:div w:id="1435058349">
      <w:bodyDiv w:val="1"/>
      <w:marLeft w:val="0"/>
      <w:marRight w:val="0"/>
      <w:marTop w:val="0"/>
      <w:marBottom w:val="0"/>
      <w:divBdr>
        <w:top w:val="none" w:sz="0" w:space="0" w:color="auto"/>
        <w:left w:val="none" w:sz="0" w:space="0" w:color="auto"/>
        <w:bottom w:val="none" w:sz="0" w:space="0" w:color="auto"/>
        <w:right w:val="none" w:sz="0" w:space="0" w:color="auto"/>
      </w:divBdr>
    </w:div>
    <w:div w:id="187912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nioxmedical.com" TargetMode="External"/><Relationship Id="rId13" Type="http://schemas.openxmlformats.org/officeDocument/2006/relationships/hyperlink" Target="https://www.med.unc.edu/surgery/vasc/directory/william-marston-md/" TargetMode="External"/><Relationship Id="rId18" Type="http://schemas.openxmlformats.org/officeDocument/2006/relationships/hyperlink" Target="https://www.facebook.com/amnioxmedica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issuetech.com/" TargetMode="External"/><Relationship Id="rId7" Type="http://schemas.openxmlformats.org/officeDocument/2006/relationships/image" Target="media/image1.png"/><Relationship Id="rId12" Type="http://schemas.openxmlformats.org/officeDocument/2006/relationships/hyperlink" Target="https://clinicaltrials.gov/ct2/show/NCT03230175" TargetMode="External"/><Relationship Id="rId17" Type="http://schemas.openxmlformats.org/officeDocument/2006/relationships/hyperlink" Target="http://www.amnioxmedical.com/" TargetMode="External"/><Relationship Id="rId25" Type="http://schemas.openxmlformats.org/officeDocument/2006/relationships/hyperlink" Target="http://www.tissuetech.com" TargetMode="External"/><Relationship Id="rId2" Type="http://schemas.openxmlformats.org/officeDocument/2006/relationships/styles" Target="styles.xml"/><Relationship Id="rId16" Type="http://schemas.openxmlformats.org/officeDocument/2006/relationships/hyperlink" Target="https://amnioxmedical.com/cryotek-process/" TargetMode="External"/><Relationship Id="rId20" Type="http://schemas.openxmlformats.org/officeDocument/2006/relationships/hyperlink" Target="https://twitter.com/AmnioxMedic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ssuetech.com/press-releases/tissuetech-inc-names-dr-herbert-b-slade-as-chief-medical-officer/" TargetMode="External"/><Relationship Id="rId24" Type="http://schemas.openxmlformats.org/officeDocument/2006/relationships/hyperlink" Target="http://www.biotissue.com/products/amniograft.aspx" TargetMode="External"/><Relationship Id="rId5" Type="http://schemas.openxmlformats.org/officeDocument/2006/relationships/footnotes" Target="footnotes.xml"/><Relationship Id="rId15" Type="http://schemas.openxmlformats.org/officeDocument/2006/relationships/hyperlink" Target="https://tissuetech.com/executive-team/" TargetMode="External"/><Relationship Id="rId23" Type="http://schemas.openxmlformats.org/officeDocument/2006/relationships/hyperlink" Target="http://www.biotissue.com/" TargetMode="External"/><Relationship Id="rId10" Type="http://schemas.openxmlformats.org/officeDocument/2006/relationships/hyperlink" Target="https://www.sawcspring.com/" TargetMode="External"/><Relationship Id="rId19" Type="http://schemas.openxmlformats.org/officeDocument/2006/relationships/hyperlink" Target="https://www.linkedin.com/company/amniox-medical/" TargetMode="External"/><Relationship Id="rId4" Type="http://schemas.openxmlformats.org/officeDocument/2006/relationships/webSettings" Target="webSettings.xml"/><Relationship Id="rId9" Type="http://schemas.openxmlformats.org/officeDocument/2006/relationships/hyperlink" Target="http://www.tissuetech.com/" TargetMode="External"/><Relationship Id="rId14" Type="http://schemas.openxmlformats.org/officeDocument/2006/relationships/hyperlink" Target="http://www.ocularsurface.com/" TargetMode="External"/><Relationship Id="rId22" Type="http://schemas.openxmlformats.org/officeDocument/2006/relationships/hyperlink" Target="http://www.amnioxmedical.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Dubrock</dc:creator>
  <cp:keywords/>
  <dc:description/>
  <cp:lastModifiedBy>Brandy Craig</cp:lastModifiedBy>
  <cp:revision>2</cp:revision>
  <cp:lastPrinted>2019-04-24T17:23:00Z</cp:lastPrinted>
  <dcterms:created xsi:type="dcterms:W3CDTF">2019-05-08T00:31:00Z</dcterms:created>
  <dcterms:modified xsi:type="dcterms:W3CDTF">2019-05-08T00:31:00Z</dcterms:modified>
</cp:coreProperties>
</file>