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E2B5" w14:textId="5FFF2E9E" w:rsidR="000E7616" w:rsidRDefault="000E7616" w:rsidP="000E7616">
      <w:pPr>
        <w:spacing w:before="240" w:after="240"/>
        <w:rPr>
          <w:b/>
          <w:sz w:val="28"/>
          <w:szCs w:val="28"/>
        </w:rPr>
      </w:pPr>
      <w:r>
        <w:rPr>
          <w:b/>
          <w:sz w:val="28"/>
          <w:szCs w:val="28"/>
        </w:rPr>
        <w:t xml:space="preserve">QCT Demonstrates the Full Performance Benefits of PCIe </w:t>
      </w:r>
      <w:r w:rsidR="000A1249">
        <w:rPr>
          <w:b/>
          <w:sz w:val="28"/>
          <w:szCs w:val="28"/>
        </w:rPr>
        <w:t>4.0</w:t>
      </w:r>
      <w:r>
        <w:rPr>
          <w:b/>
          <w:sz w:val="28"/>
          <w:szCs w:val="28"/>
        </w:rPr>
        <w:t xml:space="preserve"> on its AMD 2nd Gen EPYC Powered Servers in Concert with Ecosystem Partners</w:t>
      </w:r>
    </w:p>
    <w:p w14:paraId="4FB003C8" w14:textId="5BAC59A2" w:rsidR="000E7616" w:rsidRDefault="000E7616" w:rsidP="000E7616">
      <w:pPr>
        <w:rPr>
          <w:highlight w:val="white"/>
        </w:rPr>
      </w:pPr>
      <w:r>
        <w:rPr>
          <w:b/>
        </w:rPr>
        <w:t>San Jose, Calif</w:t>
      </w:r>
      <w:r>
        <w:t xml:space="preserve">., </w:t>
      </w:r>
      <w:r>
        <w:rPr>
          <w:highlight w:val="white"/>
        </w:rPr>
        <w:t xml:space="preserve">November 19, 2019 - Quanta Cloud Technology (QCT), a global data center solutions provider, today announced the validation of PCI Express </w:t>
      </w:r>
      <w:r w:rsidR="000A1249">
        <w:rPr>
          <w:highlight w:val="white"/>
        </w:rPr>
        <w:t>4.0</w:t>
      </w:r>
      <w:r>
        <w:rPr>
          <w:highlight w:val="white"/>
        </w:rPr>
        <w:t xml:space="preserve"> performance with AMD, Broadcom, KIOXIA, Mellanox and Samsung. This validation is the world-first of this kind to pave the way for data centers to pursue higher performance with the latest PCI Express technologies and products. Performance factor becomes more and more important with the rise of 5G and AI applications across almost all verticals.</w:t>
      </w:r>
    </w:p>
    <w:p w14:paraId="2E8DFB2E" w14:textId="77777777" w:rsidR="000E7616" w:rsidRDefault="000E7616" w:rsidP="000E7616">
      <w:pPr>
        <w:rPr>
          <w:highlight w:val="white"/>
        </w:rPr>
      </w:pPr>
    </w:p>
    <w:p w14:paraId="17E9E04A" w14:textId="06A6C94B" w:rsidR="000E7616" w:rsidRDefault="00115CE5" w:rsidP="000E7616">
      <w:pPr>
        <w:rPr>
          <w:highlight w:val="white"/>
        </w:rPr>
      </w:pPr>
      <w:hyperlink r:id="rId8">
        <w:r w:rsidR="000E7616">
          <w:rPr>
            <w:color w:val="1155CC"/>
            <w:highlight w:val="white"/>
            <w:u w:val="single"/>
          </w:rPr>
          <w:t>QCT announced its support of AMD 2nd Generation EPYC Processors in early August</w:t>
        </w:r>
      </w:hyperlink>
      <w:r w:rsidR="000E7616">
        <w:rPr>
          <w:highlight w:val="white"/>
        </w:rPr>
        <w:t xml:space="preserve">. In two tests, facilitated by QCT, </w:t>
      </w:r>
      <w:r w:rsidR="000E7616">
        <w:t>the data transfer rate and storage of 1TB of data on 2nd Gen AMD EPYC powered servers and data farms used for cloud storage, services, and software were doubled when compared with PCIe 3</w:t>
      </w:r>
      <w:r w:rsidR="00605D62">
        <w:t>.0</w:t>
      </w:r>
      <w:r w:rsidR="000E7616">
        <w:rPr>
          <w:highlight w:val="white"/>
          <w:vertAlign w:val="superscript"/>
        </w:rPr>
        <w:footnoteReference w:id="1"/>
      </w:r>
      <w:r w:rsidR="000E7616">
        <w:t>. The result was a 200 Gb/sec transfer that took half the time it would have taken a PCIe 3</w:t>
      </w:r>
      <w:r w:rsidR="00605D62">
        <w:t>.0</w:t>
      </w:r>
      <w:r w:rsidR="000E7616">
        <w:t xml:space="preserve"> adapter. The second test with the same 2nd Gen AMD EPYC powered servers compared PCIe 3</w:t>
      </w:r>
      <w:r w:rsidR="00605D62">
        <w:t>.0</w:t>
      </w:r>
      <w:r w:rsidR="000E7616">
        <w:t xml:space="preserve"> and 4</w:t>
      </w:r>
      <w:r w:rsidR="00605D62">
        <w:t>.0</w:t>
      </w:r>
      <w:r w:rsidR="000E7616">
        <w:t xml:space="preserve"> adapters for storage using VM Fleet, and the result was 2x faster storage. </w:t>
      </w:r>
      <w:r w:rsidR="000E7616">
        <w:rPr>
          <w:highlight w:val="white"/>
        </w:rPr>
        <w:t>This performance validation further demonstrated a close partnership and a strong commitment to transforming the data center industry with mutual efforts. With the apparent performance improvements, customer investments on performance-driven next generation CPUs are more justified.</w:t>
      </w:r>
    </w:p>
    <w:p w14:paraId="024E42CA" w14:textId="77777777" w:rsidR="000E7616" w:rsidRDefault="000E7616" w:rsidP="000E7616">
      <w:pPr>
        <w:rPr>
          <w:highlight w:val="white"/>
        </w:rPr>
      </w:pPr>
    </w:p>
    <w:p w14:paraId="0F64F2F0" w14:textId="77777777" w:rsidR="000E7616" w:rsidRDefault="000E7616" w:rsidP="000E7616">
      <w:r>
        <w:rPr>
          <w:b/>
        </w:rPr>
        <w:t>Supporting Quotes:</w:t>
      </w:r>
    </w:p>
    <w:p w14:paraId="2EC89378" w14:textId="77777777" w:rsidR="000E7616" w:rsidRDefault="000E7616" w:rsidP="000E7616">
      <w:pPr>
        <w:rPr>
          <w:highlight w:val="white"/>
        </w:rPr>
      </w:pPr>
    </w:p>
    <w:p w14:paraId="5FCE2880" w14:textId="4785030F" w:rsidR="000E7616" w:rsidRDefault="000E7616" w:rsidP="000E7616">
      <w:pPr>
        <w:rPr>
          <w:highlight w:val="white"/>
        </w:rPr>
      </w:pPr>
      <w:r>
        <w:rPr>
          <w:highlight w:val="white"/>
        </w:rPr>
        <w:t xml:space="preserve">“QCT understands performance enhancement is an ever-lasting effort for our data center customers, and it becomes more prominent when it comes to modern workloads which require higher computing power and much more network bandwidth as a requirement. With this in mind, we always take a leading role in the industry to strive for performance gains,” said Mike Yang, President of QCT. “PCIe </w:t>
      </w:r>
      <w:r w:rsidR="000A1249">
        <w:rPr>
          <w:highlight w:val="white"/>
        </w:rPr>
        <w:t>4.0</w:t>
      </w:r>
      <w:r>
        <w:rPr>
          <w:highlight w:val="white"/>
        </w:rPr>
        <w:t xml:space="preserve"> is a major breakthrough in peripheral connectivity, that’s why we validated Broadcom, KIOXIA, Mellanox, and Samsung </w:t>
      </w:r>
      <w:r w:rsidR="00605D62">
        <w:rPr>
          <w:highlight w:val="white"/>
        </w:rPr>
        <w:t xml:space="preserve">PCIe </w:t>
      </w:r>
      <w:r>
        <w:rPr>
          <w:highlight w:val="white"/>
        </w:rPr>
        <w:t>4</w:t>
      </w:r>
      <w:r w:rsidR="00605D62">
        <w:rPr>
          <w:highlight w:val="white"/>
        </w:rPr>
        <w:t>.0</w:t>
      </w:r>
      <w:r>
        <w:rPr>
          <w:highlight w:val="white"/>
        </w:rPr>
        <w:t xml:space="preserve"> commodities on our latest AMD EPYC servers so the market can enjoy this next generation performance at its earliest with confidence.”</w:t>
      </w:r>
    </w:p>
    <w:p w14:paraId="02F4A267" w14:textId="04A48006" w:rsidR="000E7616" w:rsidRDefault="000E7616" w:rsidP="000E7616">
      <w:pPr>
        <w:spacing w:before="240" w:after="240"/>
        <w:rPr>
          <w:highlight w:val="white"/>
        </w:rPr>
      </w:pPr>
      <w:r>
        <w:rPr>
          <w:highlight w:val="white"/>
        </w:rPr>
        <w:t xml:space="preserve">“AMD has a history of bringing innovations to the industry. AMD 2nd Gen EPYC processors set a new standard for the modern data center with first 7nm x86 server processors, embedded security features, and the world’s first x86 architecture to support PCIe 4.0,” said Raghu Nambiar, corporate vice president, </w:t>
      </w:r>
      <w:r w:rsidR="000A1249">
        <w:rPr>
          <w:highlight w:val="white"/>
        </w:rPr>
        <w:t>D</w:t>
      </w:r>
      <w:r>
        <w:rPr>
          <w:highlight w:val="white"/>
        </w:rPr>
        <w:t xml:space="preserve">atacenter </w:t>
      </w:r>
      <w:r w:rsidR="000A1249">
        <w:rPr>
          <w:highlight w:val="white"/>
        </w:rPr>
        <w:t>E</w:t>
      </w:r>
      <w:r>
        <w:rPr>
          <w:highlight w:val="white"/>
        </w:rPr>
        <w:t xml:space="preserve">cosystems and </w:t>
      </w:r>
      <w:r w:rsidR="000A1249">
        <w:rPr>
          <w:highlight w:val="white"/>
        </w:rPr>
        <w:t>A</w:t>
      </w:r>
      <w:r>
        <w:rPr>
          <w:highlight w:val="white"/>
        </w:rPr>
        <w:t xml:space="preserve">pplication </w:t>
      </w:r>
      <w:r w:rsidR="000A1249">
        <w:rPr>
          <w:highlight w:val="white"/>
        </w:rPr>
        <w:t>E</w:t>
      </w:r>
      <w:r>
        <w:rPr>
          <w:highlight w:val="white"/>
        </w:rPr>
        <w:t>ngineering at AMD.  “We have been working with QCT to bring the full performance benefits of PCIe 4.0 on their AMD 2nd Gen EPYC powered servers, in concert with our ecosystem partners”</w:t>
      </w:r>
    </w:p>
    <w:p w14:paraId="7E06EC1B" w14:textId="459FB0AA" w:rsidR="000E7616" w:rsidRDefault="000E7616" w:rsidP="000E7616">
      <w:pPr>
        <w:spacing w:before="240" w:after="240"/>
        <w:rPr>
          <w:color w:val="333333"/>
          <w:sz w:val="20"/>
          <w:szCs w:val="20"/>
          <w:highlight w:val="yellow"/>
        </w:rPr>
      </w:pPr>
      <w:r>
        <w:rPr>
          <w:highlight w:val="white"/>
        </w:rPr>
        <w:lastRenderedPageBreak/>
        <w:t xml:space="preserve">“Designed for today’s enterprise and cloud-scale environments, Broadcom’s </w:t>
      </w:r>
      <w:proofErr w:type="spellStart"/>
      <w:r>
        <w:rPr>
          <w:highlight w:val="white"/>
        </w:rPr>
        <w:t>NetXtreme</w:t>
      </w:r>
      <w:proofErr w:type="spellEnd"/>
      <w:r>
        <w:rPr>
          <w:highlight w:val="white"/>
        </w:rPr>
        <w:t xml:space="preserve">® E-Series Thor is the market's leading PCIe 4.0 Ethernet controller. Broadcom offers a complete portfolio of Thor-based Ethernet network adapters with 25G, 50G, 100G and 200G Ethernet and PCI-SIG certified PCIe </w:t>
      </w:r>
      <w:r w:rsidR="000A1249">
        <w:rPr>
          <w:highlight w:val="white"/>
        </w:rPr>
        <w:t>4.0</w:t>
      </w:r>
      <w:r>
        <w:rPr>
          <w:highlight w:val="white"/>
        </w:rPr>
        <w:t xml:space="preserve"> connectivity options,” said Dan Harding, VP of Marketing for the Compute and Connectivity Division at Broadcom. “We are excited to work with AMD and QCT to increase server-to-server traffic and CPU loads for the most demanding networking tasks.”</w:t>
      </w:r>
    </w:p>
    <w:p w14:paraId="6A9CCBD5" w14:textId="27C5F52B" w:rsidR="000E7616" w:rsidRDefault="000E7616" w:rsidP="000E7616">
      <w:pPr>
        <w:spacing w:before="240" w:after="240"/>
        <w:rPr>
          <w:highlight w:val="white"/>
        </w:rPr>
      </w:pPr>
      <w:r>
        <w:rPr>
          <w:highlight w:val="white"/>
        </w:rPr>
        <w:t xml:space="preserve">“The cloud has fully embraced NVMe SSDs and PCIe </w:t>
      </w:r>
      <w:r w:rsidR="000A1249">
        <w:rPr>
          <w:highlight w:val="white"/>
        </w:rPr>
        <w:t>4.0</w:t>
      </w:r>
      <w:r>
        <w:rPr>
          <w:highlight w:val="white"/>
        </w:rPr>
        <w:t xml:space="preserve"> brings new levels of performance to the data center,” said </w:t>
      </w:r>
      <w:proofErr w:type="spellStart"/>
      <w:r>
        <w:rPr>
          <w:highlight w:val="white"/>
        </w:rPr>
        <w:t>Kazuki</w:t>
      </w:r>
      <w:proofErr w:type="spellEnd"/>
      <w:r>
        <w:rPr>
          <w:highlight w:val="white"/>
        </w:rPr>
        <w:t xml:space="preserve"> Watanabe, president, KIOXIA Taiwan Corporation. “KIOXIA is committed to delivering cutting edge flash solutions for these cloud applications and is excited to be the first to publicly demonstrate PCIe </w:t>
      </w:r>
      <w:r w:rsidR="000A1249">
        <w:rPr>
          <w:highlight w:val="white"/>
        </w:rPr>
        <w:t>4.0</w:t>
      </w:r>
      <w:r>
        <w:rPr>
          <w:highlight w:val="white"/>
        </w:rPr>
        <w:t xml:space="preserve"> SSDs with QCT’s AMD platform.”</w:t>
      </w:r>
    </w:p>
    <w:p w14:paraId="1C449D3F" w14:textId="77777777" w:rsidR="000E7616" w:rsidRDefault="000E7616" w:rsidP="000E7616">
      <w:pPr>
        <w:spacing w:before="240" w:after="240"/>
        <w:rPr>
          <w:highlight w:val="white"/>
        </w:rPr>
      </w:pPr>
      <w:r>
        <w:rPr>
          <w:highlight w:val="white"/>
        </w:rPr>
        <w:t xml:space="preserve">“We are pleased to work with QCT and AMD to enable these new industry-leading platforms. The combination of </w:t>
      </w:r>
      <w:proofErr w:type="spellStart"/>
      <w:r>
        <w:rPr>
          <w:highlight w:val="white"/>
        </w:rPr>
        <w:t>ConnectX</w:t>
      </w:r>
      <w:proofErr w:type="spellEnd"/>
      <w:r>
        <w:rPr>
          <w:highlight w:val="white"/>
        </w:rPr>
        <w:t xml:space="preserve"> smart adapters and PCI Express 4.0 support in the second-generation AMD EPYC processor on QCT servers, provides high-performance computing, artificial intelligence, cloud, and enterprise data centers with high data bandwidth needed for the most demanding compute and storage applications,” said Kevin Deierling, senior vice president marketing, Mellanox Technologies. “Our intelli</w:t>
      </w:r>
      <w:bookmarkStart w:id="0" w:name="_GoBack"/>
      <w:r>
        <w:rPr>
          <w:highlight w:val="white"/>
        </w:rPr>
        <w:t>gen</w:t>
      </w:r>
      <w:bookmarkEnd w:id="0"/>
      <w:r>
        <w:rPr>
          <w:highlight w:val="white"/>
        </w:rPr>
        <w:t>t offloads and hardware accelerators for virtualization, storage and security, facilitate our partners’ delivery of breakthrough performance and efficiency that is ideal for the most demanding customer workloads.”</w:t>
      </w:r>
    </w:p>
    <w:p w14:paraId="0F513ED3" w14:textId="74A6152E" w:rsidR="000E7616" w:rsidRDefault="000E7616" w:rsidP="000E7616">
      <w:pPr>
        <w:shd w:val="clear" w:color="auto" w:fill="FFFFFF"/>
        <w:rPr>
          <w:sz w:val="27"/>
          <w:szCs w:val="27"/>
          <w:highlight w:val="white"/>
        </w:rPr>
      </w:pPr>
      <w:r>
        <w:rPr>
          <w:highlight w:val="white"/>
        </w:rPr>
        <w:t xml:space="preserve">"We have worked closely with our partners to integrate Samsung's most cutting-edge memory and storage solutions with the latest PCIe </w:t>
      </w:r>
      <w:r w:rsidR="000A1249">
        <w:rPr>
          <w:highlight w:val="white"/>
        </w:rPr>
        <w:t>4.0</w:t>
      </w:r>
      <w:r>
        <w:rPr>
          <w:highlight w:val="white"/>
        </w:rPr>
        <w:t xml:space="preserve"> platform,” said </w:t>
      </w:r>
      <w:proofErr w:type="spellStart"/>
      <w:r>
        <w:rPr>
          <w:highlight w:val="white"/>
        </w:rPr>
        <w:t>Jinman</w:t>
      </w:r>
      <w:proofErr w:type="spellEnd"/>
      <w:r>
        <w:rPr>
          <w:highlight w:val="white"/>
        </w:rPr>
        <w:t xml:space="preserve"> Han, senior vice president of Memory Product Planning &amp; Application Engineering Team at Samsung Electronics. “We are delighted to see that AMD and QCT are providing customers with PCIe </w:t>
      </w:r>
      <w:r w:rsidR="000A1249">
        <w:rPr>
          <w:highlight w:val="white"/>
        </w:rPr>
        <w:t>4.0</w:t>
      </w:r>
      <w:r>
        <w:rPr>
          <w:highlight w:val="white"/>
        </w:rPr>
        <w:t xml:space="preserve"> </w:t>
      </w:r>
      <w:proofErr w:type="spellStart"/>
      <w:r>
        <w:rPr>
          <w:highlight w:val="white"/>
        </w:rPr>
        <w:t>NVMe</w:t>
      </w:r>
      <w:proofErr w:type="spellEnd"/>
      <w:r>
        <w:rPr>
          <w:highlight w:val="white"/>
        </w:rPr>
        <w:t xml:space="preserve"> SSD (PM1733) that delivers doubled SSD throughout capabilities and enables maximized storage performance in today's data centers."</w:t>
      </w:r>
    </w:p>
    <w:p w14:paraId="3AE3DC53" w14:textId="77777777" w:rsidR="000E7616" w:rsidRDefault="000E7616" w:rsidP="000E7616">
      <w:pPr>
        <w:shd w:val="clear" w:color="auto" w:fill="FFFFFF"/>
        <w:rPr>
          <w:b/>
        </w:rPr>
      </w:pPr>
    </w:p>
    <w:p w14:paraId="5288346B" w14:textId="77777777" w:rsidR="000E7616" w:rsidRDefault="000E7616" w:rsidP="000E7616">
      <w:pPr>
        <w:shd w:val="clear" w:color="auto" w:fill="FFFFFF"/>
        <w:spacing w:after="160" w:line="360" w:lineRule="auto"/>
        <w:rPr>
          <w:b/>
          <w:highlight w:val="white"/>
        </w:rPr>
      </w:pPr>
      <w:r>
        <w:rPr>
          <w:b/>
          <w:highlight w:val="white"/>
        </w:rPr>
        <w:t>About Quanta Cloud Technology (QCT)</w:t>
      </w:r>
    </w:p>
    <w:p w14:paraId="4E4FC5A9" w14:textId="77777777" w:rsidR="000E7616" w:rsidRDefault="000E7616" w:rsidP="000E7616">
      <w:pPr>
        <w:shd w:val="clear" w:color="auto" w:fill="FFFFFF"/>
        <w:spacing w:after="160"/>
        <w:rPr>
          <w:highlight w:val="white"/>
        </w:rPr>
      </w:pPr>
      <w:r>
        <w:rPr>
          <w:highlight w:val="white"/>
        </w:rPr>
        <w:t>Quanta Cloud Technology (QCT) is a global data center solution provider. We combine the efficiency of hyperscale hardware with infrastructure software from a diversity of industry leaders to solve next-generation data center design and operation challenges. QCT serves cloud service providers, telecoms and enterprises running public, hybrid and private clouds.</w:t>
      </w:r>
    </w:p>
    <w:p w14:paraId="655EC799" w14:textId="77777777" w:rsidR="000E7616" w:rsidRDefault="000E7616" w:rsidP="000E7616">
      <w:pPr>
        <w:shd w:val="clear" w:color="auto" w:fill="FFFFFF"/>
        <w:spacing w:after="160"/>
        <w:rPr>
          <w:color w:val="888888"/>
          <w:highlight w:val="white"/>
        </w:rPr>
      </w:pPr>
      <w:r>
        <w:rPr>
          <w:highlight w:val="white"/>
        </w:rPr>
        <w:t>Product lines include hyperconverged and software-defined data center solutions as well as servers, storage, switches and integrated racks with a diverse ecosystem of hardware component and software partners. QCT designs, manufactures, integrates and services cutting-edge offerings via its own global network. The parent of QCT is Quanta Computer, Inc., a Fortune Global 500 corporation. For more information, visit the QCT website at</w:t>
      </w:r>
      <w:hyperlink r:id="rId9">
        <w:r>
          <w:rPr>
            <w:highlight w:val="white"/>
          </w:rPr>
          <w:t xml:space="preserve"> www.QCT.io</w:t>
        </w:r>
      </w:hyperlink>
      <w:r>
        <w:rPr>
          <w:color w:val="888888"/>
          <w:highlight w:val="white"/>
        </w:rPr>
        <w:t>.</w:t>
      </w:r>
    </w:p>
    <w:p w14:paraId="001C254F" w14:textId="77777777" w:rsidR="000E7616" w:rsidRDefault="000E7616" w:rsidP="000E7616">
      <w:pPr>
        <w:shd w:val="clear" w:color="auto" w:fill="FFFFFF"/>
        <w:spacing w:after="160"/>
        <w:rPr>
          <w:b/>
          <w:highlight w:val="white"/>
        </w:rPr>
      </w:pPr>
      <w:r>
        <w:rPr>
          <w:highlight w:val="white"/>
        </w:rPr>
        <w:t>AMD, the AMD logo, EPYC, and combinations thereof are trademarks of Advanced Micro Devices, Inc.</w:t>
      </w:r>
    </w:p>
    <w:p w14:paraId="2EA4B507" w14:textId="77777777" w:rsidR="000E7616" w:rsidRDefault="000E7616" w:rsidP="000E7616">
      <w:pPr>
        <w:rPr>
          <w:highlight w:val="white"/>
        </w:rPr>
      </w:pPr>
    </w:p>
    <w:p w14:paraId="1D936404" w14:textId="3810ECB9" w:rsidR="00CD24D7" w:rsidRPr="00EE5F54" w:rsidRDefault="00CD24D7" w:rsidP="00F32E20">
      <w:pPr>
        <w:pStyle w:val="Heading2"/>
        <w:spacing w:before="360" w:after="120"/>
        <w:rPr>
          <w:rFonts w:eastAsia="Microsoft JhengHei" w:cs="Times New Roman"/>
          <w:lang w:eastAsia="zh-TW"/>
        </w:rPr>
      </w:pPr>
    </w:p>
    <w:sectPr w:rsidR="00CD24D7" w:rsidRPr="00EE5F54" w:rsidSect="001263FC">
      <w:headerReference w:type="default" r:id="rId10"/>
      <w:footerReference w:type="default" r:id="rId11"/>
      <w:pgSz w:w="11900" w:h="16840"/>
      <w:pgMar w:top="1440" w:right="1080" w:bottom="1440" w:left="1080" w:header="708"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9F7A" w14:textId="77777777" w:rsidR="00115CE5" w:rsidRDefault="00115CE5" w:rsidP="00296878">
      <w:r>
        <w:separator/>
      </w:r>
    </w:p>
  </w:endnote>
  <w:endnote w:type="continuationSeparator" w:id="0">
    <w:p w14:paraId="1FED0041" w14:textId="77777777" w:rsidR="00115CE5" w:rsidRDefault="00115CE5" w:rsidP="0029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C733" w14:textId="77777777" w:rsidR="00657FA9" w:rsidRDefault="00657FA9" w:rsidP="005E269F">
    <w:pPr>
      <w:widowControl w:val="0"/>
      <w:autoSpaceDE w:val="0"/>
      <w:autoSpaceDN w:val="0"/>
      <w:adjustRightInd w:val="0"/>
      <w:ind w:right="-993"/>
      <w:jc w:val="right"/>
      <w:rPr>
        <w:rFonts w:ascii="Times New Roman" w:hAnsi="Times New Roman" w:cs="Times New Roman"/>
        <w:color w:val="0080CD"/>
        <w:sz w:val="16"/>
        <w:szCs w:val="16"/>
      </w:rPr>
    </w:pPr>
    <w:r>
      <w:rPr>
        <w:rFonts w:asciiTheme="majorHAnsi" w:hAnsiTheme="majorHAnsi" w:cs="Times New Roman"/>
        <w:noProof/>
        <w:sz w:val="16"/>
        <w:szCs w:val="16"/>
        <w:lang w:eastAsia="zh-TW"/>
      </w:rPr>
      <w:drawing>
        <wp:anchor distT="0" distB="0" distL="114300" distR="114300" simplePos="0" relativeHeight="251661312" behindDoc="0" locked="0" layoutInCell="1" allowOverlap="1" wp14:anchorId="25B7B8BA" wp14:editId="14368F3D">
          <wp:simplePos x="0" y="0"/>
          <wp:positionH relativeFrom="column">
            <wp:posOffset>-174625</wp:posOffset>
          </wp:positionH>
          <wp:positionV relativeFrom="paragraph">
            <wp:posOffset>-384163</wp:posOffset>
          </wp:positionV>
          <wp:extent cx="631825" cy="631825"/>
          <wp:effectExtent l="0" t="0" r="0" b="0"/>
          <wp:wrapNone/>
          <wp:docPr id="2" name="Picture 3" descr="Macintosh HD:Users:antoinedelaseigliere:Desktop:Quanta Files 02.12:Word document:colour sqaur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toinedelaseigliere:Desktop:Quanta Files 02.12:Word document:colour sqaure-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6020A8C5" w14:textId="77777777" w:rsidR="00657FA9" w:rsidRPr="00F84184" w:rsidRDefault="00657FA9" w:rsidP="005C6D9D">
    <w:pPr>
      <w:widowControl w:val="0"/>
      <w:autoSpaceDE w:val="0"/>
      <w:autoSpaceDN w:val="0"/>
      <w:adjustRightInd w:val="0"/>
      <w:snapToGrid w:val="0"/>
      <w:spacing w:line="200" w:lineRule="exact"/>
      <w:jc w:val="right"/>
      <w:rPr>
        <w:rFonts w:ascii="Microsoft JhengHei" w:eastAsia="Microsoft JhengHei" w:hAnsi="Microsoft JhengHei" w:cstheme="majorHAnsi"/>
        <w:color w:val="0080CD"/>
        <w:sz w:val="16"/>
        <w:szCs w:val="16"/>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754B6" w14:textId="77777777" w:rsidR="00115CE5" w:rsidRDefault="00115CE5" w:rsidP="00296878">
      <w:r>
        <w:separator/>
      </w:r>
    </w:p>
  </w:footnote>
  <w:footnote w:type="continuationSeparator" w:id="0">
    <w:p w14:paraId="758AF673" w14:textId="77777777" w:rsidR="00115CE5" w:rsidRDefault="00115CE5" w:rsidP="00296878">
      <w:r>
        <w:continuationSeparator/>
      </w:r>
    </w:p>
  </w:footnote>
  <w:footnote w:id="1">
    <w:p w14:paraId="7FC19A6A" w14:textId="77777777" w:rsidR="000E7616" w:rsidRDefault="000E7616" w:rsidP="000E7616">
      <w:pPr>
        <w:rPr>
          <w:b/>
          <w:color w:val="005A58"/>
        </w:rPr>
      </w:pPr>
      <w:r>
        <w:rPr>
          <w:vertAlign w:val="superscript"/>
        </w:rPr>
        <w:footnoteRef/>
      </w:r>
      <w:r>
        <w:rPr>
          <w:sz w:val="20"/>
          <w:szCs w:val="20"/>
        </w:rPr>
        <w:t xml:space="preserve"> </w:t>
      </w:r>
      <w:r>
        <w:rPr>
          <w:highlight w:val="white"/>
        </w:rPr>
        <w:t xml:space="preserve">The current validation was completed for Microsoft Windows Server 2019 and announced in the recent Microsoft Ignite event </w:t>
      </w:r>
      <w:hyperlink r:id="rId1">
        <w:r>
          <w:rPr>
            <w:color w:val="1155CC"/>
            <w:highlight w:val="white"/>
            <w:u w:val="single"/>
          </w:rPr>
          <w:t>https://myignite.techcommunity.microsoft.com/sessions/81949</w:t>
        </w:r>
      </w:hyperlink>
      <w:r>
        <w:rPr>
          <w:highlight w:val="white"/>
        </w:rPr>
        <w:t>. Moving forward, QCT will perform validation for Azure Stack HCI in Q1, 2020 with the same set of commodities and test criteria.</w:t>
      </w:r>
    </w:p>
    <w:p w14:paraId="414DE2A6" w14:textId="77777777" w:rsidR="000E7616" w:rsidRDefault="000E7616" w:rsidP="000E7616">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5BE9" w14:textId="77777777" w:rsidR="00657FA9" w:rsidRDefault="00657FA9" w:rsidP="00BF56A7">
    <w:pPr>
      <w:pStyle w:val="Header"/>
      <w:jc w:val="right"/>
    </w:pPr>
    <w:r>
      <w:rPr>
        <w:noProof/>
        <w:lang w:eastAsia="zh-TW"/>
      </w:rPr>
      <w:drawing>
        <wp:inline distT="0" distB="0" distL="0" distR="0" wp14:anchorId="19F0523C" wp14:editId="338F90EE">
          <wp:extent cx="724619" cy="727968"/>
          <wp:effectExtent l="0" t="0" r="0" b="0"/>
          <wp:docPr id="4" name="圖片 4" descr="\\ofap08\MarCom\00.QCT Brand Assets\02.QCT logo\QCT Logo-USA\Core Logos\Vertical (First priority)\Digital\QCT-Logo-Core-Vertic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ap08\MarCom\00.QCT Brand Assets\02.QCT logo\QCT Logo-USA\Core Logos\Vertical (First priority)\Digital\QCT-Logo-Core-Vertic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643" cy="7279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EC9"/>
    <w:multiLevelType w:val="multilevel"/>
    <w:tmpl w:val="DC4C08BC"/>
    <w:lvl w:ilvl="0">
      <w:start w:val="1"/>
      <w:numFmt w:val="upperRoman"/>
      <w:lvlText w:val="%1."/>
      <w:lvlJc w:val="right"/>
      <w:pPr>
        <w:tabs>
          <w:tab w:val="num" w:pos="840"/>
        </w:tabs>
        <w:ind w:left="840" w:hanging="360"/>
      </w:pPr>
    </w:lvl>
    <w:lvl w:ilvl="1">
      <w:start w:val="1"/>
      <w:numFmt w:val="upperRoman"/>
      <w:lvlText w:val="%2."/>
      <w:lvlJc w:val="right"/>
      <w:pPr>
        <w:tabs>
          <w:tab w:val="num" w:pos="1560"/>
        </w:tabs>
        <w:ind w:left="1560" w:hanging="360"/>
      </w:pPr>
    </w:lvl>
    <w:lvl w:ilvl="2">
      <w:start w:val="1"/>
      <w:numFmt w:val="upperRoman"/>
      <w:lvlText w:val="%3."/>
      <w:lvlJc w:val="right"/>
      <w:pPr>
        <w:tabs>
          <w:tab w:val="num" w:pos="2280"/>
        </w:tabs>
        <w:ind w:left="2280" w:hanging="360"/>
      </w:pPr>
    </w:lvl>
    <w:lvl w:ilvl="3">
      <w:start w:val="1"/>
      <w:numFmt w:val="upperRoman"/>
      <w:lvlText w:val="%4."/>
      <w:lvlJc w:val="right"/>
      <w:pPr>
        <w:tabs>
          <w:tab w:val="num" w:pos="3000"/>
        </w:tabs>
        <w:ind w:left="3000" w:hanging="360"/>
      </w:pPr>
    </w:lvl>
    <w:lvl w:ilvl="4">
      <w:start w:val="1"/>
      <w:numFmt w:val="upperRoman"/>
      <w:lvlText w:val="%5."/>
      <w:lvlJc w:val="right"/>
      <w:pPr>
        <w:tabs>
          <w:tab w:val="num" w:pos="3720"/>
        </w:tabs>
        <w:ind w:left="3720" w:hanging="360"/>
      </w:pPr>
    </w:lvl>
    <w:lvl w:ilvl="5">
      <w:start w:val="1"/>
      <w:numFmt w:val="upperRoman"/>
      <w:lvlText w:val="%6."/>
      <w:lvlJc w:val="right"/>
      <w:pPr>
        <w:tabs>
          <w:tab w:val="num" w:pos="4440"/>
        </w:tabs>
        <w:ind w:left="4440" w:hanging="360"/>
      </w:pPr>
    </w:lvl>
    <w:lvl w:ilvl="6">
      <w:start w:val="1"/>
      <w:numFmt w:val="upperRoman"/>
      <w:lvlText w:val="%7."/>
      <w:lvlJc w:val="right"/>
      <w:pPr>
        <w:tabs>
          <w:tab w:val="num" w:pos="5160"/>
        </w:tabs>
        <w:ind w:left="5160" w:hanging="360"/>
      </w:pPr>
    </w:lvl>
    <w:lvl w:ilvl="7">
      <w:start w:val="1"/>
      <w:numFmt w:val="upperRoman"/>
      <w:lvlText w:val="%8."/>
      <w:lvlJc w:val="right"/>
      <w:pPr>
        <w:tabs>
          <w:tab w:val="num" w:pos="5880"/>
        </w:tabs>
        <w:ind w:left="5880" w:hanging="360"/>
      </w:pPr>
    </w:lvl>
    <w:lvl w:ilvl="8">
      <w:start w:val="1"/>
      <w:numFmt w:val="upperRoman"/>
      <w:lvlText w:val="%9."/>
      <w:lvlJc w:val="right"/>
      <w:pPr>
        <w:tabs>
          <w:tab w:val="num" w:pos="6600"/>
        </w:tabs>
        <w:ind w:left="6600" w:hanging="360"/>
      </w:pPr>
    </w:lvl>
  </w:abstractNum>
  <w:abstractNum w:abstractNumId="1" w15:restartNumberingAfterBreak="0">
    <w:nsid w:val="032E3317"/>
    <w:multiLevelType w:val="multilevel"/>
    <w:tmpl w:val="64E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F55C0"/>
    <w:multiLevelType w:val="multilevel"/>
    <w:tmpl w:val="BD5295C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 w15:restartNumberingAfterBreak="0">
    <w:nsid w:val="09702CC8"/>
    <w:multiLevelType w:val="multilevel"/>
    <w:tmpl w:val="68F03C8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15:restartNumberingAfterBreak="0">
    <w:nsid w:val="0FCC3555"/>
    <w:multiLevelType w:val="multilevel"/>
    <w:tmpl w:val="5A7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17016"/>
    <w:multiLevelType w:val="multilevel"/>
    <w:tmpl w:val="9DC07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80684"/>
    <w:multiLevelType w:val="multilevel"/>
    <w:tmpl w:val="604E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E26FF"/>
    <w:multiLevelType w:val="multilevel"/>
    <w:tmpl w:val="9B2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855DF"/>
    <w:multiLevelType w:val="multilevel"/>
    <w:tmpl w:val="3362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032C1"/>
    <w:multiLevelType w:val="multilevel"/>
    <w:tmpl w:val="C6C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D4C7E"/>
    <w:multiLevelType w:val="multilevel"/>
    <w:tmpl w:val="A688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14B49"/>
    <w:multiLevelType w:val="multilevel"/>
    <w:tmpl w:val="C8340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D3957"/>
    <w:multiLevelType w:val="hybridMultilevel"/>
    <w:tmpl w:val="E0E8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465A7"/>
    <w:multiLevelType w:val="hybridMultilevel"/>
    <w:tmpl w:val="51C0BB2E"/>
    <w:lvl w:ilvl="0" w:tplc="EC6EBBE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0805DD1"/>
    <w:multiLevelType w:val="multilevel"/>
    <w:tmpl w:val="EF7A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97C79"/>
    <w:multiLevelType w:val="hybridMultilevel"/>
    <w:tmpl w:val="FAB216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53A37A1"/>
    <w:multiLevelType w:val="multilevel"/>
    <w:tmpl w:val="BFBA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A4DD9"/>
    <w:multiLevelType w:val="hybridMultilevel"/>
    <w:tmpl w:val="A0B25B34"/>
    <w:lvl w:ilvl="0" w:tplc="46E8C728">
      <w:start w:val="26"/>
      <w:numFmt w:val="decimal"/>
      <w:lvlText w:val="%1."/>
      <w:lvlJc w:val="left"/>
      <w:pPr>
        <w:tabs>
          <w:tab w:val="num" w:pos="720"/>
        </w:tabs>
        <w:ind w:left="720" w:hanging="360"/>
      </w:pPr>
    </w:lvl>
    <w:lvl w:ilvl="1" w:tplc="02CCA7A6" w:tentative="1">
      <w:start w:val="1"/>
      <w:numFmt w:val="decimal"/>
      <w:lvlText w:val="%2."/>
      <w:lvlJc w:val="left"/>
      <w:pPr>
        <w:tabs>
          <w:tab w:val="num" w:pos="1440"/>
        </w:tabs>
        <w:ind w:left="1440" w:hanging="360"/>
      </w:pPr>
    </w:lvl>
    <w:lvl w:ilvl="2" w:tplc="10D4F010" w:tentative="1">
      <w:start w:val="1"/>
      <w:numFmt w:val="decimal"/>
      <w:lvlText w:val="%3."/>
      <w:lvlJc w:val="left"/>
      <w:pPr>
        <w:tabs>
          <w:tab w:val="num" w:pos="2160"/>
        </w:tabs>
        <w:ind w:left="2160" w:hanging="360"/>
      </w:pPr>
    </w:lvl>
    <w:lvl w:ilvl="3" w:tplc="20EC6AF8" w:tentative="1">
      <w:start w:val="1"/>
      <w:numFmt w:val="decimal"/>
      <w:lvlText w:val="%4."/>
      <w:lvlJc w:val="left"/>
      <w:pPr>
        <w:tabs>
          <w:tab w:val="num" w:pos="2880"/>
        </w:tabs>
        <w:ind w:left="2880" w:hanging="360"/>
      </w:pPr>
    </w:lvl>
    <w:lvl w:ilvl="4" w:tplc="17522CE2" w:tentative="1">
      <w:start w:val="1"/>
      <w:numFmt w:val="decimal"/>
      <w:lvlText w:val="%5."/>
      <w:lvlJc w:val="left"/>
      <w:pPr>
        <w:tabs>
          <w:tab w:val="num" w:pos="3600"/>
        </w:tabs>
        <w:ind w:left="3600" w:hanging="360"/>
      </w:pPr>
    </w:lvl>
    <w:lvl w:ilvl="5" w:tplc="402A0B3E" w:tentative="1">
      <w:start w:val="1"/>
      <w:numFmt w:val="decimal"/>
      <w:lvlText w:val="%6."/>
      <w:lvlJc w:val="left"/>
      <w:pPr>
        <w:tabs>
          <w:tab w:val="num" w:pos="4320"/>
        </w:tabs>
        <w:ind w:left="4320" w:hanging="360"/>
      </w:pPr>
    </w:lvl>
    <w:lvl w:ilvl="6" w:tplc="A16A1180" w:tentative="1">
      <w:start w:val="1"/>
      <w:numFmt w:val="decimal"/>
      <w:lvlText w:val="%7."/>
      <w:lvlJc w:val="left"/>
      <w:pPr>
        <w:tabs>
          <w:tab w:val="num" w:pos="5040"/>
        </w:tabs>
        <w:ind w:left="5040" w:hanging="360"/>
      </w:pPr>
    </w:lvl>
    <w:lvl w:ilvl="7" w:tplc="DFEE44C4" w:tentative="1">
      <w:start w:val="1"/>
      <w:numFmt w:val="decimal"/>
      <w:lvlText w:val="%8."/>
      <w:lvlJc w:val="left"/>
      <w:pPr>
        <w:tabs>
          <w:tab w:val="num" w:pos="5760"/>
        </w:tabs>
        <w:ind w:left="5760" w:hanging="360"/>
      </w:pPr>
    </w:lvl>
    <w:lvl w:ilvl="8" w:tplc="6D862DC8" w:tentative="1">
      <w:start w:val="1"/>
      <w:numFmt w:val="decimal"/>
      <w:lvlText w:val="%9."/>
      <w:lvlJc w:val="left"/>
      <w:pPr>
        <w:tabs>
          <w:tab w:val="num" w:pos="6480"/>
        </w:tabs>
        <w:ind w:left="6480" w:hanging="360"/>
      </w:pPr>
    </w:lvl>
  </w:abstractNum>
  <w:abstractNum w:abstractNumId="18" w15:restartNumberingAfterBreak="0">
    <w:nsid w:val="3B490D38"/>
    <w:multiLevelType w:val="multilevel"/>
    <w:tmpl w:val="A7C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B479A"/>
    <w:multiLevelType w:val="multilevel"/>
    <w:tmpl w:val="5F42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017D1"/>
    <w:multiLevelType w:val="multilevel"/>
    <w:tmpl w:val="BCFC83D4"/>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1" w15:restartNumberingAfterBreak="0">
    <w:nsid w:val="3FBC5E53"/>
    <w:multiLevelType w:val="multilevel"/>
    <w:tmpl w:val="C46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C5E56"/>
    <w:multiLevelType w:val="multilevel"/>
    <w:tmpl w:val="C0B8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95B4C"/>
    <w:multiLevelType w:val="multilevel"/>
    <w:tmpl w:val="5FE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35F61"/>
    <w:multiLevelType w:val="multilevel"/>
    <w:tmpl w:val="CB50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53877"/>
    <w:multiLevelType w:val="multilevel"/>
    <w:tmpl w:val="C3AAF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A61CAA"/>
    <w:multiLevelType w:val="multilevel"/>
    <w:tmpl w:val="C9B8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345CB"/>
    <w:multiLevelType w:val="multilevel"/>
    <w:tmpl w:val="9BC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BA4246"/>
    <w:multiLevelType w:val="multilevel"/>
    <w:tmpl w:val="8D6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D46D2D"/>
    <w:multiLevelType w:val="multilevel"/>
    <w:tmpl w:val="2BF6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D5F77"/>
    <w:multiLevelType w:val="multilevel"/>
    <w:tmpl w:val="545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A3B6D"/>
    <w:multiLevelType w:val="multilevel"/>
    <w:tmpl w:val="E5E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009EF"/>
    <w:multiLevelType w:val="multilevel"/>
    <w:tmpl w:val="9030041E"/>
    <w:lvl w:ilvl="0">
      <w:start w:val="6"/>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3" w15:restartNumberingAfterBreak="0">
    <w:nsid w:val="5F923B6D"/>
    <w:multiLevelType w:val="hybridMultilevel"/>
    <w:tmpl w:val="E7A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E9466"/>
    <w:multiLevelType w:val="hybridMultilevel"/>
    <w:tmpl w:val="4963E327"/>
    <w:lvl w:ilvl="0" w:tplc="FFFFFFFF">
      <w:start w:val="1"/>
      <w:numFmt w:val="bullet"/>
      <w:lvlText w:val="•"/>
      <w:lvlJc w:val="left"/>
    </w:lvl>
    <w:lvl w:ilvl="1" w:tplc="E6F4412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9065696"/>
    <w:multiLevelType w:val="multilevel"/>
    <w:tmpl w:val="F6DE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40080"/>
    <w:multiLevelType w:val="multilevel"/>
    <w:tmpl w:val="D6F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30C87"/>
    <w:multiLevelType w:val="multilevel"/>
    <w:tmpl w:val="775A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96E83"/>
    <w:multiLevelType w:val="multilevel"/>
    <w:tmpl w:val="CDE2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A4B2F"/>
    <w:multiLevelType w:val="multilevel"/>
    <w:tmpl w:val="24DC6118"/>
    <w:lvl w:ilvl="0">
      <w:start w:val="9"/>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0" w15:restartNumberingAfterBreak="0">
    <w:nsid w:val="78082FE0"/>
    <w:multiLevelType w:val="multilevel"/>
    <w:tmpl w:val="DB92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5"/>
  </w:num>
  <w:num w:numId="3">
    <w:abstractNumId w:val="21"/>
  </w:num>
  <w:num w:numId="4">
    <w:abstractNumId w:val="22"/>
  </w:num>
  <w:num w:numId="5">
    <w:abstractNumId w:val="28"/>
  </w:num>
  <w:num w:numId="6">
    <w:abstractNumId w:val="27"/>
  </w:num>
  <w:num w:numId="7">
    <w:abstractNumId w:val="37"/>
  </w:num>
  <w:num w:numId="8">
    <w:abstractNumId w:val="24"/>
  </w:num>
  <w:num w:numId="9">
    <w:abstractNumId w:val="17"/>
  </w:num>
  <w:num w:numId="10">
    <w:abstractNumId w:val="12"/>
  </w:num>
  <w:num w:numId="11">
    <w:abstractNumId w:val="26"/>
  </w:num>
  <w:num w:numId="12">
    <w:abstractNumId w:val="29"/>
  </w:num>
  <w:num w:numId="13">
    <w:abstractNumId w:val="1"/>
  </w:num>
  <w:num w:numId="14">
    <w:abstractNumId w:val="23"/>
  </w:num>
  <w:num w:numId="15">
    <w:abstractNumId w:val="31"/>
  </w:num>
  <w:num w:numId="16">
    <w:abstractNumId w:val="36"/>
  </w:num>
  <w:num w:numId="17">
    <w:abstractNumId w:val="7"/>
  </w:num>
  <w:num w:numId="18">
    <w:abstractNumId w:val="30"/>
  </w:num>
  <w:num w:numId="19">
    <w:abstractNumId w:val="19"/>
  </w:num>
  <w:num w:numId="20">
    <w:abstractNumId w:val="9"/>
  </w:num>
  <w:num w:numId="21">
    <w:abstractNumId w:val="6"/>
  </w:num>
  <w:num w:numId="22">
    <w:abstractNumId w:val="14"/>
  </w:num>
  <w:num w:numId="23">
    <w:abstractNumId w:val="4"/>
  </w:num>
  <w:num w:numId="24">
    <w:abstractNumId w:val="8"/>
  </w:num>
  <w:num w:numId="25">
    <w:abstractNumId w:val="16"/>
  </w:num>
  <w:num w:numId="26">
    <w:abstractNumId w:val="40"/>
  </w:num>
  <w:num w:numId="27">
    <w:abstractNumId w:val="10"/>
  </w:num>
  <w:num w:numId="28">
    <w:abstractNumId w:val="18"/>
  </w:num>
  <w:num w:numId="29">
    <w:abstractNumId w:val="25"/>
  </w:num>
  <w:num w:numId="30">
    <w:abstractNumId w:val="11"/>
  </w:num>
  <w:num w:numId="31">
    <w:abstractNumId w:val="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3"/>
  </w:num>
  <w:num w:numId="39">
    <w:abstractNumId w:val="33"/>
  </w:num>
  <w:num w:numId="40">
    <w:abstractNumId w:val="3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embedSystemFonts/>
  <w:bordersDoNotSurroundHeader/>
  <w:bordersDoNotSurroundFooter/>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73"/>
    <w:rsid w:val="00011686"/>
    <w:rsid w:val="00013A22"/>
    <w:rsid w:val="000157D9"/>
    <w:rsid w:val="000173C0"/>
    <w:rsid w:val="000227CE"/>
    <w:rsid w:val="0004306C"/>
    <w:rsid w:val="00044C73"/>
    <w:rsid w:val="00073698"/>
    <w:rsid w:val="000778C8"/>
    <w:rsid w:val="0009692A"/>
    <w:rsid w:val="00097764"/>
    <w:rsid w:val="000A1249"/>
    <w:rsid w:val="000A5CF8"/>
    <w:rsid w:val="000A655D"/>
    <w:rsid w:val="000C1564"/>
    <w:rsid w:val="000C57C6"/>
    <w:rsid w:val="000D2AFA"/>
    <w:rsid w:val="000D2EC0"/>
    <w:rsid w:val="000D31EE"/>
    <w:rsid w:val="000E7616"/>
    <w:rsid w:val="000F27B5"/>
    <w:rsid w:val="000F348C"/>
    <w:rsid w:val="000F5AF9"/>
    <w:rsid w:val="000F680B"/>
    <w:rsid w:val="001100B2"/>
    <w:rsid w:val="00115CE5"/>
    <w:rsid w:val="001263FC"/>
    <w:rsid w:val="00133DFB"/>
    <w:rsid w:val="00140941"/>
    <w:rsid w:val="00141A6F"/>
    <w:rsid w:val="00164C75"/>
    <w:rsid w:val="00172196"/>
    <w:rsid w:val="00176DF9"/>
    <w:rsid w:val="0017775F"/>
    <w:rsid w:val="00177789"/>
    <w:rsid w:val="001823B8"/>
    <w:rsid w:val="00182413"/>
    <w:rsid w:val="00184730"/>
    <w:rsid w:val="00187DA1"/>
    <w:rsid w:val="001932A7"/>
    <w:rsid w:val="00197EC3"/>
    <w:rsid w:val="001B549F"/>
    <w:rsid w:val="001C642C"/>
    <w:rsid w:val="001C7F1D"/>
    <w:rsid w:val="001D3BA8"/>
    <w:rsid w:val="001F5005"/>
    <w:rsid w:val="002047AD"/>
    <w:rsid w:val="002110FE"/>
    <w:rsid w:val="00221A7E"/>
    <w:rsid w:val="002320A8"/>
    <w:rsid w:val="002446A1"/>
    <w:rsid w:val="0024659E"/>
    <w:rsid w:val="00254980"/>
    <w:rsid w:val="002568CD"/>
    <w:rsid w:val="00263C2B"/>
    <w:rsid w:val="00272DC3"/>
    <w:rsid w:val="0029000D"/>
    <w:rsid w:val="00296878"/>
    <w:rsid w:val="002A2F43"/>
    <w:rsid w:val="002B2041"/>
    <w:rsid w:val="002B5D27"/>
    <w:rsid w:val="002C1FB7"/>
    <w:rsid w:val="002D53E5"/>
    <w:rsid w:val="002E6BB9"/>
    <w:rsid w:val="002F4926"/>
    <w:rsid w:val="00300E2A"/>
    <w:rsid w:val="00301CFC"/>
    <w:rsid w:val="003050E6"/>
    <w:rsid w:val="00310A98"/>
    <w:rsid w:val="00312512"/>
    <w:rsid w:val="00314061"/>
    <w:rsid w:val="0032242E"/>
    <w:rsid w:val="00324301"/>
    <w:rsid w:val="0033362D"/>
    <w:rsid w:val="003620DA"/>
    <w:rsid w:val="003636A3"/>
    <w:rsid w:val="0037267E"/>
    <w:rsid w:val="00383327"/>
    <w:rsid w:val="00386D99"/>
    <w:rsid w:val="003936FF"/>
    <w:rsid w:val="00397567"/>
    <w:rsid w:val="003A2755"/>
    <w:rsid w:val="003A493F"/>
    <w:rsid w:val="003A4C56"/>
    <w:rsid w:val="003B37B5"/>
    <w:rsid w:val="003B5FD7"/>
    <w:rsid w:val="003C02EC"/>
    <w:rsid w:val="003C4AC4"/>
    <w:rsid w:val="003C546E"/>
    <w:rsid w:val="003D003E"/>
    <w:rsid w:val="003D3D4C"/>
    <w:rsid w:val="003E0D6B"/>
    <w:rsid w:val="003E305B"/>
    <w:rsid w:val="003F3DB1"/>
    <w:rsid w:val="003F4989"/>
    <w:rsid w:val="00407926"/>
    <w:rsid w:val="0043003A"/>
    <w:rsid w:val="004367BC"/>
    <w:rsid w:val="00443C9C"/>
    <w:rsid w:val="00451176"/>
    <w:rsid w:val="0046670B"/>
    <w:rsid w:val="00471DCA"/>
    <w:rsid w:val="00493D33"/>
    <w:rsid w:val="004B2EDA"/>
    <w:rsid w:val="004C37AF"/>
    <w:rsid w:val="004C6575"/>
    <w:rsid w:val="004D3157"/>
    <w:rsid w:val="004D65A9"/>
    <w:rsid w:val="004D7E4F"/>
    <w:rsid w:val="004F1BF6"/>
    <w:rsid w:val="004F7A44"/>
    <w:rsid w:val="005407E3"/>
    <w:rsid w:val="00583657"/>
    <w:rsid w:val="00584E2F"/>
    <w:rsid w:val="00585522"/>
    <w:rsid w:val="005A06B2"/>
    <w:rsid w:val="005A1479"/>
    <w:rsid w:val="005A6DBA"/>
    <w:rsid w:val="005C1D47"/>
    <w:rsid w:val="005C5CE9"/>
    <w:rsid w:val="005C6D9D"/>
    <w:rsid w:val="005E269F"/>
    <w:rsid w:val="005F0386"/>
    <w:rsid w:val="00605D62"/>
    <w:rsid w:val="00611B15"/>
    <w:rsid w:val="00617522"/>
    <w:rsid w:val="006239AF"/>
    <w:rsid w:val="0063705A"/>
    <w:rsid w:val="00643FF3"/>
    <w:rsid w:val="00647FCA"/>
    <w:rsid w:val="006518DB"/>
    <w:rsid w:val="00657FA9"/>
    <w:rsid w:val="006A792D"/>
    <w:rsid w:val="006B025B"/>
    <w:rsid w:val="006B3FE2"/>
    <w:rsid w:val="006C3EDC"/>
    <w:rsid w:val="006C45DD"/>
    <w:rsid w:val="006D7445"/>
    <w:rsid w:val="006E3525"/>
    <w:rsid w:val="00701853"/>
    <w:rsid w:val="00701BB7"/>
    <w:rsid w:val="007100CF"/>
    <w:rsid w:val="00711E6B"/>
    <w:rsid w:val="007252BA"/>
    <w:rsid w:val="00726A5C"/>
    <w:rsid w:val="00751C20"/>
    <w:rsid w:val="00763C1D"/>
    <w:rsid w:val="00764EF2"/>
    <w:rsid w:val="00766365"/>
    <w:rsid w:val="00766791"/>
    <w:rsid w:val="00770AD0"/>
    <w:rsid w:val="007875FC"/>
    <w:rsid w:val="0078799F"/>
    <w:rsid w:val="007A0BB3"/>
    <w:rsid w:val="007A4B68"/>
    <w:rsid w:val="007A63DA"/>
    <w:rsid w:val="007B1C97"/>
    <w:rsid w:val="007B6065"/>
    <w:rsid w:val="007C1395"/>
    <w:rsid w:val="007C5533"/>
    <w:rsid w:val="007D47F4"/>
    <w:rsid w:val="007E6E80"/>
    <w:rsid w:val="007E790E"/>
    <w:rsid w:val="007F532D"/>
    <w:rsid w:val="007F7CF3"/>
    <w:rsid w:val="00803AB4"/>
    <w:rsid w:val="00804365"/>
    <w:rsid w:val="00810ED8"/>
    <w:rsid w:val="00824638"/>
    <w:rsid w:val="00825BD7"/>
    <w:rsid w:val="0083416A"/>
    <w:rsid w:val="008646A4"/>
    <w:rsid w:val="00864F75"/>
    <w:rsid w:val="00865DAB"/>
    <w:rsid w:val="0086630D"/>
    <w:rsid w:val="0087058B"/>
    <w:rsid w:val="00890014"/>
    <w:rsid w:val="008A0333"/>
    <w:rsid w:val="008A444F"/>
    <w:rsid w:val="008A5154"/>
    <w:rsid w:val="008A79D5"/>
    <w:rsid w:val="008B7C8A"/>
    <w:rsid w:val="008E5031"/>
    <w:rsid w:val="008F2434"/>
    <w:rsid w:val="008F40E5"/>
    <w:rsid w:val="00906594"/>
    <w:rsid w:val="00911F69"/>
    <w:rsid w:val="00924762"/>
    <w:rsid w:val="00924D2E"/>
    <w:rsid w:val="009262A2"/>
    <w:rsid w:val="0093051A"/>
    <w:rsid w:val="00940FBB"/>
    <w:rsid w:val="00962029"/>
    <w:rsid w:val="00965848"/>
    <w:rsid w:val="009845EA"/>
    <w:rsid w:val="0099217F"/>
    <w:rsid w:val="00992B0E"/>
    <w:rsid w:val="009D08FB"/>
    <w:rsid w:val="009D6F07"/>
    <w:rsid w:val="009D711F"/>
    <w:rsid w:val="009E33E9"/>
    <w:rsid w:val="009F07CD"/>
    <w:rsid w:val="009F542B"/>
    <w:rsid w:val="009F777E"/>
    <w:rsid w:val="00A00932"/>
    <w:rsid w:val="00A15EB4"/>
    <w:rsid w:val="00A25A0A"/>
    <w:rsid w:val="00A35DB4"/>
    <w:rsid w:val="00A52A51"/>
    <w:rsid w:val="00A54196"/>
    <w:rsid w:val="00A63D28"/>
    <w:rsid w:val="00A66427"/>
    <w:rsid w:val="00A746E8"/>
    <w:rsid w:val="00A77741"/>
    <w:rsid w:val="00AA5C8C"/>
    <w:rsid w:val="00AC032E"/>
    <w:rsid w:val="00AC27F9"/>
    <w:rsid w:val="00AC3F84"/>
    <w:rsid w:val="00AD28A1"/>
    <w:rsid w:val="00AE6EAC"/>
    <w:rsid w:val="00AF5994"/>
    <w:rsid w:val="00AF6F73"/>
    <w:rsid w:val="00B13ACC"/>
    <w:rsid w:val="00B212FF"/>
    <w:rsid w:val="00B45D5C"/>
    <w:rsid w:val="00B72987"/>
    <w:rsid w:val="00B979B4"/>
    <w:rsid w:val="00BA28DF"/>
    <w:rsid w:val="00BA5FCB"/>
    <w:rsid w:val="00BA72A4"/>
    <w:rsid w:val="00BB1C7C"/>
    <w:rsid w:val="00BB5CF3"/>
    <w:rsid w:val="00BC33BC"/>
    <w:rsid w:val="00BE097C"/>
    <w:rsid w:val="00BF174F"/>
    <w:rsid w:val="00BF356A"/>
    <w:rsid w:val="00BF3CF3"/>
    <w:rsid w:val="00BF56A7"/>
    <w:rsid w:val="00BF571A"/>
    <w:rsid w:val="00C008EE"/>
    <w:rsid w:val="00C01353"/>
    <w:rsid w:val="00C03BE0"/>
    <w:rsid w:val="00C206AC"/>
    <w:rsid w:val="00C27039"/>
    <w:rsid w:val="00C3213F"/>
    <w:rsid w:val="00C36AC0"/>
    <w:rsid w:val="00C36BE8"/>
    <w:rsid w:val="00C37D0D"/>
    <w:rsid w:val="00C54599"/>
    <w:rsid w:val="00C54FCF"/>
    <w:rsid w:val="00C600D4"/>
    <w:rsid w:val="00C66410"/>
    <w:rsid w:val="00C664D3"/>
    <w:rsid w:val="00C70C4E"/>
    <w:rsid w:val="00C815DB"/>
    <w:rsid w:val="00C821E2"/>
    <w:rsid w:val="00CB04C6"/>
    <w:rsid w:val="00CB5AD6"/>
    <w:rsid w:val="00CD24D7"/>
    <w:rsid w:val="00CD4E7F"/>
    <w:rsid w:val="00CE389F"/>
    <w:rsid w:val="00CF2FD8"/>
    <w:rsid w:val="00D00CB5"/>
    <w:rsid w:val="00D1138E"/>
    <w:rsid w:val="00D124B1"/>
    <w:rsid w:val="00D126C6"/>
    <w:rsid w:val="00D21A1E"/>
    <w:rsid w:val="00D27296"/>
    <w:rsid w:val="00D361CF"/>
    <w:rsid w:val="00D37C5F"/>
    <w:rsid w:val="00D40656"/>
    <w:rsid w:val="00D40F23"/>
    <w:rsid w:val="00D5384A"/>
    <w:rsid w:val="00D54819"/>
    <w:rsid w:val="00D743B6"/>
    <w:rsid w:val="00D85532"/>
    <w:rsid w:val="00D85BD9"/>
    <w:rsid w:val="00D9424F"/>
    <w:rsid w:val="00DA0A9C"/>
    <w:rsid w:val="00DC5601"/>
    <w:rsid w:val="00DD74CA"/>
    <w:rsid w:val="00DE1A31"/>
    <w:rsid w:val="00DE6123"/>
    <w:rsid w:val="00DF7547"/>
    <w:rsid w:val="00E40B12"/>
    <w:rsid w:val="00E5032A"/>
    <w:rsid w:val="00E570C5"/>
    <w:rsid w:val="00E736E9"/>
    <w:rsid w:val="00E7543E"/>
    <w:rsid w:val="00E9643A"/>
    <w:rsid w:val="00EA1B6B"/>
    <w:rsid w:val="00EA6DEC"/>
    <w:rsid w:val="00EA7274"/>
    <w:rsid w:val="00EC757E"/>
    <w:rsid w:val="00ED1D45"/>
    <w:rsid w:val="00ED3F9A"/>
    <w:rsid w:val="00ED6B4C"/>
    <w:rsid w:val="00ED6BED"/>
    <w:rsid w:val="00EE5F54"/>
    <w:rsid w:val="00EE7B7D"/>
    <w:rsid w:val="00EF1CEA"/>
    <w:rsid w:val="00EF4F43"/>
    <w:rsid w:val="00F108BB"/>
    <w:rsid w:val="00F1348A"/>
    <w:rsid w:val="00F16728"/>
    <w:rsid w:val="00F222EF"/>
    <w:rsid w:val="00F26A6D"/>
    <w:rsid w:val="00F313D4"/>
    <w:rsid w:val="00F319C9"/>
    <w:rsid w:val="00F32C79"/>
    <w:rsid w:val="00F32E20"/>
    <w:rsid w:val="00F40AF5"/>
    <w:rsid w:val="00F54F26"/>
    <w:rsid w:val="00F678D3"/>
    <w:rsid w:val="00F75A2D"/>
    <w:rsid w:val="00F84184"/>
    <w:rsid w:val="00F87FD4"/>
    <w:rsid w:val="00F90479"/>
    <w:rsid w:val="00FA64E4"/>
    <w:rsid w:val="00FB7C9A"/>
    <w:rsid w:val="00FC2B91"/>
    <w:rsid w:val="00FC2E51"/>
    <w:rsid w:val="00FE1923"/>
  </w:rsids>
  <m:mathPr>
    <m:mathFont m:val="Cambria Math"/>
    <m:brkBin m:val="before"/>
    <m:brkBinSub m:val="--"/>
    <m:smallFrac/>
    <m:dispDef/>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C9DEB9"/>
  <w15:docId w15:val="{F3EF72AF-8910-4376-A729-4F845587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1176"/>
    <w:pPr>
      <w:spacing w:before="100" w:beforeAutospacing="1" w:after="100" w:afterAutospacing="1"/>
      <w:outlineLvl w:val="0"/>
    </w:pPr>
    <w:rPr>
      <w:rFonts w:ascii="Times New Roman" w:eastAsia="Times New Roman" w:hAnsi="Times New Roman" w:cs="Times New Roman"/>
      <w:b/>
      <w:bCs/>
      <w:kern w:val="36"/>
      <w:sz w:val="48"/>
      <w:szCs w:val="48"/>
      <w:lang w:eastAsia="zh-TW"/>
    </w:rPr>
  </w:style>
  <w:style w:type="paragraph" w:styleId="Heading2">
    <w:name w:val="heading 2"/>
    <w:basedOn w:val="Normal"/>
    <w:next w:val="Normal"/>
    <w:link w:val="Heading2Char"/>
    <w:uiPriority w:val="9"/>
    <w:unhideWhenUsed/>
    <w:qFormat/>
    <w:rsid w:val="000C57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8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878"/>
    <w:rPr>
      <w:rFonts w:ascii="Lucida Grande" w:hAnsi="Lucida Grande" w:cs="Lucida Grande"/>
      <w:sz w:val="18"/>
      <w:szCs w:val="18"/>
    </w:rPr>
  </w:style>
  <w:style w:type="paragraph" w:styleId="Header">
    <w:name w:val="header"/>
    <w:basedOn w:val="Normal"/>
    <w:link w:val="HeaderChar"/>
    <w:uiPriority w:val="99"/>
    <w:unhideWhenUsed/>
    <w:rsid w:val="00296878"/>
    <w:pPr>
      <w:tabs>
        <w:tab w:val="center" w:pos="4320"/>
        <w:tab w:val="right" w:pos="8640"/>
      </w:tabs>
    </w:pPr>
  </w:style>
  <w:style w:type="character" w:customStyle="1" w:styleId="HeaderChar">
    <w:name w:val="Header Char"/>
    <w:basedOn w:val="DefaultParagraphFont"/>
    <w:link w:val="Header"/>
    <w:uiPriority w:val="99"/>
    <w:rsid w:val="00296878"/>
  </w:style>
  <w:style w:type="paragraph" w:styleId="Footer">
    <w:name w:val="footer"/>
    <w:basedOn w:val="Normal"/>
    <w:link w:val="FooterChar"/>
    <w:uiPriority w:val="99"/>
    <w:unhideWhenUsed/>
    <w:rsid w:val="00296878"/>
    <w:pPr>
      <w:tabs>
        <w:tab w:val="center" w:pos="4320"/>
        <w:tab w:val="right" w:pos="8640"/>
      </w:tabs>
    </w:pPr>
  </w:style>
  <w:style w:type="character" w:customStyle="1" w:styleId="FooterChar">
    <w:name w:val="Footer Char"/>
    <w:basedOn w:val="DefaultParagraphFont"/>
    <w:link w:val="Footer"/>
    <w:uiPriority w:val="99"/>
    <w:rsid w:val="00296878"/>
  </w:style>
  <w:style w:type="character" w:styleId="Strong">
    <w:name w:val="Strong"/>
    <w:basedOn w:val="DefaultParagraphFont"/>
    <w:uiPriority w:val="22"/>
    <w:qFormat/>
    <w:rsid w:val="008646A4"/>
    <w:rPr>
      <w:b/>
      <w:bCs/>
    </w:rPr>
  </w:style>
  <w:style w:type="character" w:styleId="Hyperlink">
    <w:name w:val="Hyperlink"/>
    <w:basedOn w:val="DefaultParagraphFont"/>
    <w:uiPriority w:val="99"/>
    <w:unhideWhenUsed/>
    <w:rsid w:val="00EA7274"/>
    <w:rPr>
      <w:color w:val="0000FF" w:themeColor="hyperlink"/>
      <w:u w:val="single"/>
    </w:rPr>
  </w:style>
  <w:style w:type="character" w:customStyle="1" w:styleId="apple-converted-space">
    <w:name w:val="apple-converted-space"/>
    <w:basedOn w:val="DefaultParagraphFont"/>
    <w:rsid w:val="003C4AC4"/>
  </w:style>
  <w:style w:type="paragraph" w:styleId="Date">
    <w:name w:val="Date"/>
    <w:basedOn w:val="Normal"/>
    <w:next w:val="Normal"/>
    <w:link w:val="DateChar"/>
    <w:uiPriority w:val="99"/>
    <w:semiHidden/>
    <w:unhideWhenUsed/>
    <w:rsid w:val="004367BC"/>
    <w:pPr>
      <w:jc w:val="right"/>
    </w:pPr>
  </w:style>
  <w:style w:type="character" w:customStyle="1" w:styleId="DateChar">
    <w:name w:val="Date Char"/>
    <w:basedOn w:val="DefaultParagraphFont"/>
    <w:link w:val="Date"/>
    <w:uiPriority w:val="99"/>
    <w:semiHidden/>
    <w:rsid w:val="004367BC"/>
  </w:style>
  <w:style w:type="paragraph" w:styleId="NormalWeb">
    <w:name w:val="Normal (Web)"/>
    <w:basedOn w:val="Normal"/>
    <w:uiPriority w:val="99"/>
    <w:unhideWhenUsed/>
    <w:rsid w:val="00770AD0"/>
    <w:pPr>
      <w:spacing w:before="100" w:beforeAutospacing="1" w:after="100" w:afterAutospacing="1"/>
    </w:pPr>
    <w:rPr>
      <w:rFonts w:ascii="Times New Roman" w:eastAsia="Times New Roman" w:hAnsi="Times New Roman" w:cs="Times New Roman"/>
      <w:lang w:eastAsia="zh-TW"/>
    </w:rPr>
  </w:style>
  <w:style w:type="character" w:styleId="CommentReference">
    <w:name w:val="annotation reference"/>
    <w:basedOn w:val="DefaultParagraphFont"/>
    <w:uiPriority w:val="99"/>
    <w:semiHidden/>
    <w:unhideWhenUsed/>
    <w:rsid w:val="000A655D"/>
    <w:rPr>
      <w:sz w:val="16"/>
      <w:szCs w:val="16"/>
    </w:rPr>
  </w:style>
  <w:style w:type="paragraph" w:styleId="CommentText">
    <w:name w:val="annotation text"/>
    <w:basedOn w:val="Normal"/>
    <w:link w:val="CommentTextChar"/>
    <w:uiPriority w:val="99"/>
    <w:semiHidden/>
    <w:unhideWhenUsed/>
    <w:rsid w:val="000A655D"/>
    <w:rPr>
      <w:sz w:val="20"/>
      <w:szCs w:val="20"/>
    </w:rPr>
  </w:style>
  <w:style w:type="character" w:customStyle="1" w:styleId="CommentTextChar">
    <w:name w:val="Comment Text Char"/>
    <w:basedOn w:val="DefaultParagraphFont"/>
    <w:link w:val="CommentText"/>
    <w:uiPriority w:val="99"/>
    <w:semiHidden/>
    <w:rsid w:val="000A655D"/>
    <w:rPr>
      <w:sz w:val="20"/>
      <w:szCs w:val="20"/>
    </w:rPr>
  </w:style>
  <w:style w:type="paragraph" w:styleId="CommentSubject">
    <w:name w:val="annotation subject"/>
    <w:basedOn w:val="CommentText"/>
    <w:next w:val="CommentText"/>
    <w:link w:val="CommentSubjectChar"/>
    <w:uiPriority w:val="99"/>
    <w:semiHidden/>
    <w:unhideWhenUsed/>
    <w:rsid w:val="000A655D"/>
    <w:rPr>
      <w:b/>
      <w:bCs/>
    </w:rPr>
  </w:style>
  <w:style w:type="character" w:customStyle="1" w:styleId="CommentSubjectChar">
    <w:name w:val="Comment Subject Char"/>
    <w:basedOn w:val="CommentTextChar"/>
    <w:link w:val="CommentSubject"/>
    <w:uiPriority w:val="99"/>
    <w:semiHidden/>
    <w:rsid w:val="000A655D"/>
    <w:rPr>
      <w:b/>
      <w:bCs/>
      <w:sz w:val="20"/>
      <w:szCs w:val="20"/>
    </w:rPr>
  </w:style>
  <w:style w:type="paragraph" w:styleId="FootnoteText">
    <w:name w:val="footnote text"/>
    <w:basedOn w:val="Normal"/>
    <w:link w:val="FootnoteTextChar"/>
    <w:uiPriority w:val="99"/>
    <w:semiHidden/>
    <w:unhideWhenUsed/>
    <w:rsid w:val="0043003A"/>
    <w:rPr>
      <w:sz w:val="20"/>
      <w:szCs w:val="20"/>
    </w:rPr>
  </w:style>
  <w:style w:type="character" w:customStyle="1" w:styleId="FootnoteTextChar">
    <w:name w:val="Footnote Text Char"/>
    <w:basedOn w:val="DefaultParagraphFont"/>
    <w:link w:val="FootnoteText"/>
    <w:uiPriority w:val="99"/>
    <w:semiHidden/>
    <w:rsid w:val="0043003A"/>
    <w:rPr>
      <w:sz w:val="20"/>
      <w:szCs w:val="20"/>
    </w:rPr>
  </w:style>
  <w:style w:type="character" w:styleId="FootnoteReference">
    <w:name w:val="footnote reference"/>
    <w:basedOn w:val="DefaultParagraphFont"/>
    <w:uiPriority w:val="99"/>
    <w:semiHidden/>
    <w:unhideWhenUsed/>
    <w:rsid w:val="0043003A"/>
    <w:rPr>
      <w:vertAlign w:val="superscript"/>
    </w:rPr>
  </w:style>
  <w:style w:type="paragraph" w:styleId="HTMLPreformatted">
    <w:name w:val="HTML Preformatted"/>
    <w:basedOn w:val="Normal"/>
    <w:link w:val="HTMLPreformattedChar"/>
    <w:uiPriority w:val="99"/>
    <w:semiHidden/>
    <w:unhideWhenUsed/>
    <w:rsid w:val="006C4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semiHidden/>
    <w:rsid w:val="006C45DD"/>
    <w:rPr>
      <w:rFonts w:ascii="Courier New" w:eastAsia="Times New Roman" w:hAnsi="Courier New" w:cs="Courier New"/>
      <w:sz w:val="20"/>
      <w:szCs w:val="20"/>
      <w:lang w:eastAsia="zh-TW"/>
    </w:rPr>
  </w:style>
  <w:style w:type="character" w:customStyle="1" w:styleId="Heading1Char">
    <w:name w:val="Heading 1 Char"/>
    <w:basedOn w:val="DefaultParagraphFont"/>
    <w:link w:val="Heading1"/>
    <w:uiPriority w:val="9"/>
    <w:rsid w:val="00451176"/>
    <w:rPr>
      <w:rFonts w:ascii="Times New Roman" w:eastAsia="Times New Roman" w:hAnsi="Times New Roman" w:cs="Times New Roman"/>
      <w:b/>
      <w:bCs/>
      <w:kern w:val="36"/>
      <w:sz w:val="48"/>
      <w:szCs w:val="48"/>
      <w:lang w:eastAsia="zh-TW"/>
    </w:rPr>
  </w:style>
  <w:style w:type="paragraph" w:styleId="ListParagraph">
    <w:name w:val="List Paragraph"/>
    <w:basedOn w:val="Normal"/>
    <w:uiPriority w:val="34"/>
    <w:qFormat/>
    <w:rsid w:val="001932A7"/>
    <w:pPr>
      <w:ind w:left="720"/>
    </w:pPr>
    <w:rPr>
      <w:rFonts w:ascii="Calibri" w:eastAsia="PMingLiU" w:hAnsi="Calibri" w:cs="Calibri"/>
      <w:sz w:val="22"/>
      <w:szCs w:val="22"/>
      <w:lang w:eastAsia="ja-JP"/>
    </w:rPr>
  </w:style>
  <w:style w:type="character" w:customStyle="1" w:styleId="UnresolvedMention1">
    <w:name w:val="Unresolved Mention1"/>
    <w:basedOn w:val="DefaultParagraphFont"/>
    <w:uiPriority w:val="99"/>
    <w:semiHidden/>
    <w:unhideWhenUsed/>
    <w:rsid w:val="000778C8"/>
    <w:rPr>
      <w:color w:val="808080"/>
      <w:shd w:val="clear" w:color="auto" w:fill="E6E6E6"/>
    </w:rPr>
  </w:style>
  <w:style w:type="character" w:styleId="UnresolvedMention">
    <w:name w:val="Unresolved Mention"/>
    <w:basedOn w:val="DefaultParagraphFont"/>
    <w:uiPriority w:val="99"/>
    <w:semiHidden/>
    <w:unhideWhenUsed/>
    <w:rsid w:val="003A2755"/>
    <w:rPr>
      <w:color w:val="808080"/>
      <w:shd w:val="clear" w:color="auto" w:fill="E6E6E6"/>
    </w:rPr>
  </w:style>
  <w:style w:type="character" w:customStyle="1" w:styleId="Heading2Char">
    <w:name w:val="Heading 2 Char"/>
    <w:basedOn w:val="DefaultParagraphFont"/>
    <w:link w:val="Heading2"/>
    <w:uiPriority w:val="9"/>
    <w:rsid w:val="000C57C6"/>
    <w:rPr>
      <w:rFonts w:asciiTheme="majorHAnsi" w:eastAsiaTheme="majorEastAsia" w:hAnsiTheme="majorHAnsi" w:cstheme="majorBidi"/>
      <w:color w:val="365F91" w:themeColor="accent1" w:themeShade="BF"/>
      <w:sz w:val="26"/>
      <w:szCs w:val="26"/>
    </w:rPr>
  </w:style>
  <w:style w:type="paragraph" w:customStyle="1" w:styleId="Default">
    <w:name w:val="Default"/>
    <w:rsid w:val="00F32E20"/>
    <w:pPr>
      <w:autoSpaceDE w:val="0"/>
      <w:autoSpaceDN w:val="0"/>
      <w:adjustRightInd w:val="0"/>
    </w:pPr>
    <w:rPr>
      <w:rFonts w:ascii="Times New Roman" w:hAnsi="Times New Roman" w:cs="Times New Roman"/>
      <w:color w:val="000000"/>
      <w:lang w:eastAsia="zh-TW"/>
    </w:rPr>
  </w:style>
  <w:style w:type="paragraph" w:customStyle="1" w:styleId="1">
    <w:name w:val="內文1"/>
    <w:basedOn w:val="Normal"/>
    <w:uiPriority w:val="99"/>
    <w:rsid w:val="00D9424F"/>
    <w:pPr>
      <w:spacing w:line="276" w:lineRule="auto"/>
      <w:contextualSpacing/>
    </w:pPr>
    <w:rPr>
      <w:rFonts w:ascii="Arial" w:eastAsia="PMingLiU"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00586">
      <w:bodyDiv w:val="1"/>
      <w:marLeft w:val="0"/>
      <w:marRight w:val="0"/>
      <w:marTop w:val="0"/>
      <w:marBottom w:val="0"/>
      <w:divBdr>
        <w:top w:val="none" w:sz="0" w:space="0" w:color="auto"/>
        <w:left w:val="none" w:sz="0" w:space="0" w:color="auto"/>
        <w:bottom w:val="none" w:sz="0" w:space="0" w:color="auto"/>
        <w:right w:val="none" w:sz="0" w:space="0" w:color="auto"/>
      </w:divBdr>
    </w:div>
    <w:div w:id="460073909">
      <w:bodyDiv w:val="1"/>
      <w:marLeft w:val="0"/>
      <w:marRight w:val="0"/>
      <w:marTop w:val="0"/>
      <w:marBottom w:val="0"/>
      <w:divBdr>
        <w:top w:val="none" w:sz="0" w:space="0" w:color="auto"/>
        <w:left w:val="none" w:sz="0" w:space="0" w:color="auto"/>
        <w:bottom w:val="none" w:sz="0" w:space="0" w:color="auto"/>
        <w:right w:val="none" w:sz="0" w:space="0" w:color="auto"/>
      </w:divBdr>
    </w:div>
    <w:div w:id="493767555">
      <w:bodyDiv w:val="1"/>
      <w:marLeft w:val="0"/>
      <w:marRight w:val="0"/>
      <w:marTop w:val="0"/>
      <w:marBottom w:val="0"/>
      <w:divBdr>
        <w:top w:val="none" w:sz="0" w:space="0" w:color="auto"/>
        <w:left w:val="none" w:sz="0" w:space="0" w:color="auto"/>
        <w:bottom w:val="none" w:sz="0" w:space="0" w:color="auto"/>
        <w:right w:val="none" w:sz="0" w:space="0" w:color="auto"/>
      </w:divBdr>
    </w:div>
    <w:div w:id="645165885">
      <w:bodyDiv w:val="1"/>
      <w:marLeft w:val="0"/>
      <w:marRight w:val="0"/>
      <w:marTop w:val="0"/>
      <w:marBottom w:val="0"/>
      <w:divBdr>
        <w:top w:val="none" w:sz="0" w:space="0" w:color="auto"/>
        <w:left w:val="none" w:sz="0" w:space="0" w:color="auto"/>
        <w:bottom w:val="none" w:sz="0" w:space="0" w:color="auto"/>
        <w:right w:val="none" w:sz="0" w:space="0" w:color="auto"/>
      </w:divBdr>
    </w:div>
    <w:div w:id="695692707">
      <w:bodyDiv w:val="1"/>
      <w:marLeft w:val="0"/>
      <w:marRight w:val="0"/>
      <w:marTop w:val="0"/>
      <w:marBottom w:val="0"/>
      <w:divBdr>
        <w:top w:val="none" w:sz="0" w:space="0" w:color="auto"/>
        <w:left w:val="none" w:sz="0" w:space="0" w:color="auto"/>
        <w:bottom w:val="none" w:sz="0" w:space="0" w:color="auto"/>
        <w:right w:val="none" w:sz="0" w:space="0" w:color="auto"/>
      </w:divBdr>
      <w:divsChild>
        <w:div w:id="1208839644">
          <w:marLeft w:val="360"/>
          <w:marRight w:val="0"/>
          <w:marTop w:val="240"/>
          <w:marBottom w:val="0"/>
          <w:divBdr>
            <w:top w:val="none" w:sz="0" w:space="0" w:color="auto"/>
            <w:left w:val="none" w:sz="0" w:space="0" w:color="auto"/>
            <w:bottom w:val="none" w:sz="0" w:space="0" w:color="auto"/>
            <w:right w:val="none" w:sz="0" w:space="0" w:color="auto"/>
          </w:divBdr>
        </w:div>
      </w:divsChild>
    </w:div>
    <w:div w:id="721638802">
      <w:bodyDiv w:val="1"/>
      <w:marLeft w:val="0"/>
      <w:marRight w:val="0"/>
      <w:marTop w:val="0"/>
      <w:marBottom w:val="0"/>
      <w:divBdr>
        <w:top w:val="none" w:sz="0" w:space="0" w:color="auto"/>
        <w:left w:val="none" w:sz="0" w:space="0" w:color="auto"/>
        <w:bottom w:val="none" w:sz="0" w:space="0" w:color="auto"/>
        <w:right w:val="none" w:sz="0" w:space="0" w:color="auto"/>
      </w:divBdr>
    </w:div>
    <w:div w:id="748385197">
      <w:bodyDiv w:val="1"/>
      <w:marLeft w:val="0"/>
      <w:marRight w:val="0"/>
      <w:marTop w:val="0"/>
      <w:marBottom w:val="0"/>
      <w:divBdr>
        <w:top w:val="none" w:sz="0" w:space="0" w:color="auto"/>
        <w:left w:val="none" w:sz="0" w:space="0" w:color="auto"/>
        <w:bottom w:val="none" w:sz="0" w:space="0" w:color="auto"/>
        <w:right w:val="none" w:sz="0" w:space="0" w:color="auto"/>
      </w:divBdr>
    </w:div>
    <w:div w:id="769009421">
      <w:bodyDiv w:val="1"/>
      <w:marLeft w:val="0"/>
      <w:marRight w:val="0"/>
      <w:marTop w:val="0"/>
      <w:marBottom w:val="0"/>
      <w:divBdr>
        <w:top w:val="none" w:sz="0" w:space="0" w:color="auto"/>
        <w:left w:val="none" w:sz="0" w:space="0" w:color="auto"/>
        <w:bottom w:val="none" w:sz="0" w:space="0" w:color="auto"/>
        <w:right w:val="none" w:sz="0" w:space="0" w:color="auto"/>
      </w:divBdr>
    </w:div>
    <w:div w:id="923025430">
      <w:bodyDiv w:val="1"/>
      <w:marLeft w:val="0"/>
      <w:marRight w:val="0"/>
      <w:marTop w:val="0"/>
      <w:marBottom w:val="0"/>
      <w:divBdr>
        <w:top w:val="none" w:sz="0" w:space="0" w:color="auto"/>
        <w:left w:val="none" w:sz="0" w:space="0" w:color="auto"/>
        <w:bottom w:val="none" w:sz="0" w:space="0" w:color="auto"/>
        <w:right w:val="none" w:sz="0" w:space="0" w:color="auto"/>
      </w:divBdr>
    </w:div>
    <w:div w:id="1004161352">
      <w:bodyDiv w:val="1"/>
      <w:marLeft w:val="0"/>
      <w:marRight w:val="0"/>
      <w:marTop w:val="0"/>
      <w:marBottom w:val="0"/>
      <w:divBdr>
        <w:top w:val="none" w:sz="0" w:space="0" w:color="auto"/>
        <w:left w:val="none" w:sz="0" w:space="0" w:color="auto"/>
        <w:bottom w:val="none" w:sz="0" w:space="0" w:color="auto"/>
        <w:right w:val="none" w:sz="0" w:space="0" w:color="auto"/>
      </w:divBdr>
    </w:div>
    <w:div w:id="1032992962">
      <w:bodyDiv w:val="1"/>
      <w:marLeft w:val="0"/>
      <w:marRight w:val="0"/>
      <w:marTop w:val="0"/>
      <w:marBottom w:val="0"/>
      <w:divBdr>
        <w:top w:val="none" w:sz="0" w:space="0" w:color="auto"/>
        <w:left w:val="none" w:sz="0" w:space="0" w:color="auto"/>
        <w:bottom w:val="none" w:sz="0" w:space="0" w:color="auto"/>
        <w:right w:val="none" w:sz="0" w:space="0" w:color="auto"/>
      </w:divBdr>
    </w:div>
    <w:div w:id="1126387624">
      <w:bodyDiv w:val="1"/>
      <w:marLeft w:val="0"/>
      <w:marRight w:val="0"/>
      <w:marTop w:val="0"/>
      <w:marBottom w:val="0"/>
      <w:divBdr>
        <w:top w:val="none" w:sz="0" w:space="0" w:color="auto"/>
        <w:left w:val="none" w:sz="0" w:space="0" w:color="auto"/>
        <w:bottom w:val="none" w:sz="0" w:space="0" w:color="auto"/>
        <w:right w:val="none" w:sz="0" w:space="0" w:color="auto"/>
      </w:divBdr>
    </w:div>
    <w:div w:id="1213930567">
      <w:bodyDiv w:val="1"/>
      <w:marLeft w:val="0"/>
      <w:marRight w:val="0"/>
      <w:marTop w:val="0"/>
      <w:marBottom w:val="0"/>
      <w:divBdr>
        <w:top w:val="none" w:sz="0" w:space="0" w:color="auto"/>
        <w:left w:val="none" w:sz="0" w:space="0" w:color="auto"/>
        <w:bottom w:val="none" w:sz="0" w:space="0" w:color="auto"/>
        <w:right w:val="none" w:sz="0" w:space="0" w:color="auto"/>
      </w:divBdr>
    </w:div>
    <w:div w:id="1295020215">
      <w:bodyDiv w:val="1"/>
      <w:marLeft w:val="0"/>
      <w:marRight w:val="0"/>
      <w:marTop w:val="0"/>
      <w:marBottom w:val="0"/>
      <w:divBdr>
        <w:top w:val="none" w:sz="0" w:space="0" w:color="auto"/>
        <w:left w:val="none" w:sz="0" w:space="0" w:color="auto"/>
        <w:bottom w:val="none" w:sz="0" w:space="0" w:color="auto"/>
        <w:right w:val="none" w:sz="0" w:space="0" w:color="auto"/>
      </w:divBdr>
    </w:div>
    <w:div w:id="1398897164">
      <w:bodyDiv w:val="1"/>
      <w:marLeft w:val="0"/>
      <w:marRight w:val="0"/>
      <w:marTop w:val="0"/>
      <w:marBottom w:val="0"/>
      <w:divBdr>
        <w:top w:val="none" w:sz="0" w:space="0" w:color="auto"/>
        <w:left w:val="none" w:sz="0" w:space="0" w:color="auto"/>
        <w:bottom w:val="none" w:sz="0" w:space="0" w:color="auto"/>
        <w:right w:val="none" w:sz="0" w:space="0" w:color="auto"/>
      </w:divBdr>
      <w:divsChild>
        <w:div w:id="1609851442">
          <w:marLeft w:val="-225"/>
          <w:marRight w:val="-225"/>
          <w:marTop w:val="0"/>
          <w:marBottom w:val="0"/>
          <w:divBdr>
            <w:top w:val="none" w:sz="0" w:space="0" w:color="auto"/>
            <w:left w:val="none" w:sz="0" w:space="0" w:color="auto"/>
            <w:bottom w:val="none" w:sz="0" w:space="0" w:color="auto"/>
            <w:right w:val="none" w:sz="0" w:space="0" w:color="auto"/>
          </w:divBdr>
          <w:divsChild>
            <w:div w:id="173082265">
              <w:marLeft w:val="0"/>
              <w:marRight w:val="0"/>
              <w:marTop w:val="0"/>
              <w:marBottom w:val="0"/>
              <w:divBdr>
                <w:top w:val="none" w:sz="0" w:space="0" w:color="auto"/>
                <w:left w:val="none" w:sz="0" w:space="0" w:color="auto"/>
                <w:bottom w:val="none" w:sz="0" w:space="0" w:color="auto"/>
                <w:right w:val="none" w:sz="0" w:space="0" w:color="auto"/>
              </w:divBdr>
            </w:div>
            <w:div w:id="874273707">
              <w:marLeft w:val="0"/>
              <w:marRight w:val="0"/>
              <w:marTop w:val="0"/>
              <w:marBottom w:val="0"/>
              <w:divBdr>
                <w:top w:val="none" w:sz="0" w:space="0" w:color="auto"/>
                <w:left w:val="none" w:sz="0" w:space="0" w:color="auto"/>
                <w:bottom w:val="none" w:sz="0" w:space="0" w:color="auto"/>
                <w:right w:val="none" w:sz="0" w:space="0" w:color="auto"/>
              </w:divBdr>
              <w:divsChild>
                <w:div w:id="7298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6693">
          <w:marLeft w:val="-225"/>
          <w:marRight w:val="-225"/>
          <w:marTop w:val="0"/>
          <w:marBottom w:val="0"/>
          <w:divBdr>
            <w:top w:val="none" w:sz="0" w:space="0" w:color="auto"/>
            <w:left w:val="none" w:sz="0" w:space="0" w:color="auto"/>
            <w:bottom w:val="none" w:sz="0" w:space="0" w:color="auto"/>
            <w:right w:val="none" w:sz="0" w:space="0" w:color="auto"/>
          </w:divBdr>
          <w:divsChild>
            <w:div w:id="330524042">
              <w:marLeft w:val="0"/>
              <w:marRight w:val="0"/>
              <w:marTop w:val="0"/>
              <w:marBottom w:val="0"/>
              <w:divBdr>
                <w:top w:val="none" w:sz="0" w:space="0" w:color="auto"/>
                <w:left w:val="none" w:sz="0" w:space="0" w:color="auto"/>
                <w:bottom w:val="none" w:sz="0" w:space="0" w:color="auto"/>
                <w:right w:val="none" w:sz="0" w:space="0" w:color="auto"/>
              </w:divBdr>
            </w:div>
            <w:div w:id="302657129">
              <w:marLeft w:val="0"/>
              <w:marRight w:val="0"/>
              <w:marTop w:val="0"/>
              <w:marBottom w:val="0"/>
              <w:divBdr>
                <w:top w:val="none" w:sz="0" w:space="0" w:color="auto"/>
                <w:left w:val="none" w:sz="0" w:space="0" w:color="auto"/>
                <w:bottom w:val="none" w:sz="0" w:space="0" w:color="auto"/>
                <w:right w:val="none" w:sz="0" w:space="0" w:color="auto"/>
              </w:divBdr>
              <w:divsChild>
                <w:div w:id="1777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30401">
          <w:marLeft w:val="-225"/>
          <w:marRight w:val="-225"/>
          <w:marTop w:val="0"/>
          <w:marBottom w:val="0"/>
          <w:divBdr>
            <w:top w:val="none" w:sz="0" w:space="0" w:color="auto"/>
            <w:left w:val="none" w:sz="0" w:space="0" w:color="auto"/>
            <w:bottom w:val="none" w:sz="0" w:space="0" w:color="auto"/>
            <w:right w:val="none" w:sz="0" w:space="0" w:color="auto"/>
          </w:divBdr>
          <w:divsChild>
            <w:div w:id="626544868">
              <w:marLeft w:val="0"/>
              <w:marRight w:val="0"/>
              <w:marTop w:val="0"/>
              <w:marBottom w:val="0"/>
              <w:divBdr>
                <w:top w:val="none" w:sz="0" w:space="0" w:color="auto"/>
                <w:left w:val="none" w:sz="0" w:space="0" w:color="auto"/>
                <w:bottom w:val="none" w:sz="0" w:space="0" w:color="auto"/>
                <w:right w:val="none" w:sz="0" w:space="0" w:color="auto"/>
              </w:divBdr>
            </w:div>
            <w:div w:id="1520855858">
              <w:marLeft w:val="0"/>
              <w:marRight w:val="0"/>
              <w:marTop w:val="0"/>
              <w:marBottom w:val="0"/>
              <w:divBdr>
                <w:top w:val="none" w:sz="0" w:space="0" w:color="auto"/>
                <w:left w:val="none" w:sz="0" w:space="0" w:color="auto"/>
                <w:bottom w:val="none" w:sz="0" w:space="0" w:color="auto"/>
                <w:right w:val="none" w:sz="0" w:space="0" w:color="auto"/>
              </w:divBdr>
              <w:divsChild>
                <w:div w:id="13300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166">
          <w:marLeft w:val="-225"/>
          <w:marRight w:val="-225"/>
          <w:marTop w:val="0"/>
          <w:marBottom w:val="0"/>
          <w:divBdr>
            <w:top w:val="none" w:sz="0" w:space="0" w:color="auto"/>
            <w:left w:val="none" w:sz="0" w:space="0" w:color="auto"/>
            <w:bottom w:val="none" w:sz="0" w:space="0" w:color="auto"/>
            <w:right w:val="none" w:sz="0" w:space="0" w:color="auto"/>
          </w:divBdr>
          <w:divsChild>
            <w:div w:id="1712801262">
              <w:marLeft w:val="0"/>
              <w:marRight w:val="0"/>
              <w:marTop w:val="0"/>
              <w:marBottom w:val="0"/>
              <w:divBdr>
                <w:top w:val="none" w:sz="0" w:space="0" w:color="auto"/>
                <w:left w:val="none" w:sz="0" w:space="0" w:color="auto"/>
                <w:bottom w:val="none" w:sz="0" w:space="0" w:color="auto"/>
                <w:right w:val="none" w:sz="0" w:space="0" w:color="auto"/>
              </w:divBdr>
            </w:div>
            <w:div w:id="590817974">
              <w:marLeft w:val="0"/>
              <w:marRight w:val="0"/>
              <w:marTop w:val="0"/>
              <w:marBottom w:val="0"/>
              <w:divBdr>
                <w:top w:val="none" w:sz="0" w:space="0" w:color="auto"/>
                <w:left w:val="none" w:sz="0" w:space="0" w:color="auto"/>
                <w:bottom w:val="none" w:sz="0" w:space="0" w:color="auto"/>
                <w:right w:val="none" w:sz="0" w:space="0" w:color="auto"/>
              </w:divBdr>
              <w:divsChild>
                <w:div w:id="14178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9736">
          <w:marLeft w:val="-225"/>
          <w:marRight w:val="-225"/>
          <w:marTop w:val="0"/>
          <w:marBottom w:val="0"/>
          <w:divBdr>
            <w:top w:val="none" w:sz="0" w:space="0" w:color="auto"/>
            <w:left w:val="none" w:sz="0" w:space="0" w:color="auto"/>
            <w:bottom w:val="none" w:sz="0" w:space="0" w:color="auto"/>
            <w:right w:val="none" w:sz="0" w:space="0" w:color="auto"/>
          </w:divBdr>
          <w:divsChild>
            <w:div w:id="1191454306">
              <w:marLeft w:val="0"/>
              <w:marRight w:val="0"/>
              <w:marTop w:val="0"/>
              <w:marBottom w:val="0"/>
              <w:divBdr>
                <w:top w:val="none" w:sz="0" w:space="0" w:color="auto"/>
                <w:left w:val="none" w:sz="0" w:space="0" w:color="auto"/>
                <w:bottom w:val="none" w:sz="0" w:space="0" w:color="auto"/>
                <w:right w:val="none" w:sz="0" w:space="0" w:color="auto"/>
              </w:divBdr>
            </w:div>
            <w:div w:id="42607138">
              <w:marLeft w:val="0"/>
              <w:marRight w:val="0"/>
              <w:marTop w:val="0"/>
              <w:marBottom w:val="0"/>
              <w:divBdr>
                <w:top w:val="none" w:sz="0" w:space="0" w:color="auto"/>
                <w:left w:val="none" w:sz="0" w:space="0" w:color="auto"/>
                <w:bottom w:val="none" w:sz="0" w:space="0" w:color="auto"/>
                <w:right w:val="none" w:sz="0" w:space="0" w:color="auto"/>
              </w:divBdr>
              <w:divsChild>
                <w:div w:id="3508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6498">
      <w:bodyDiv w:val="1"/>
      <w:marLeft w:val="0"/>
      <w:marRight w:val="0"/>
      <w:marTop w:val="0"/>
      <w:marBottom w:val="0"/>
      <w:divBdr>
        <w:top w:val="none" w:sz="0" w:space="0" w:color="auto"/>
        <w:left w:val="none" w:sz="0" w:space="0" w:color="auto"/>
        <w:bottom w:val="none" w:sz="0" w:space="0" w:color="auto"/>
        <w:right w:val="none" w:sz="0" w:space="0" w:color="auto"/>
      </w:divBdr>
    </w:div>
    <w:div w:id="1557350674">
      <w:bodyDiv w:val="1"/>
      <w:marLeft w:val="0"/>
      <w:marRight w:val="0"/>
      <w:marTop w:val="0"/>
      <w:marBottom w:val="0"/>
      <w:divBdr>
        <w:top w:val="none" w:sz="0" w:space="0" w:color="auto"/>
        <w:left w:val="none" w:sz="0" w:space="0" w:color="auto"/>
        <w:bottom w:val="none" w:sz="0" w:space="0" w:color="auto"/>
        <w:right w:val="none" w:sz="0" w:space="0" w:color="auto"/>
      </w:divBdr>
    </w:div>
    <w:div w:id="1569996176">
      <w:bodyDiv w:val="1"/>
      <w:marLeft w:val="0"/>
      <w:marRight w:val="0"/>
      <w:marTop w:val="0"/>
      <w:marBottom w:val="0"/>
      <w:divBdr>
        <w:top w:val="none" w:sz="0" w:space="0" w:color="auto"/>
        <w:left w:val="none" w:sz="0" w:space="0" w:color="auto"/>
        <w:bottom w:val="none" w:sz="0" w:space="0" w:color="auto"/>
        <w:right w:val="none" w:sz="0" w:space="0" w:color="auto"/>
      </w:divBdr>
    </w:div>
    <w:div w:id="1634821456">
      <w:bodyDiv w:val="1"/>
      <w:marLeft w:val="0"/>
      <w:marRight w:val="0"/>
      <w:marTop w:val="0"/>
      <w:marBottom w:val="0"/>
      <w:divBdr>
        <w:top w:val="none" w:sz="0" w:space="0" w:color="auto"/>
        <w:left w:val="none" w:sz="0" w:space="0" w:color="auto"/>
        <w:bottom w:val="none" w:sz="0" w:space="0" w:color="auto"/>
        <w:right w:val="none" w:sz="0" w:space="0" w:color="auto"/>
      </w:divBdr>
    </w:div>
    <w:div w:id="1677884676">
      <w:bodyDiv w:val="1"/>
      <w:marLeft w:val="0"/>
      <w:marRight w:val="0"/>
      <w:marTop w:val="0"/>
      <w:marBottom w:val="0"/>
      <w:divBdr>
        <w:top w:val="none" w:sz="0" w:space="0" w:color="auto"/>
        <w:left w:val="none" w:sz="0" w:space="0" w:color="auto"/>
        <w:bottom w:val="none" w:sz="0" w:space="0" w:color="auto"/>
        <w:right w:val="none" w:sz="0" w:space="0" w:color="auto"/>
      </w:divBdr>
    </w:div>
    <w:div w:id="1906257576">
      <w:bodyDiv w:val="1"/>
      <w:marLeft w:val="0"/>
      <w:marRight w:val="0"/>
      <w:marTop w:val="0"/>
      <w:marBottom w:val="0"/>
      <w:divBdr>
        <w:top w:val="none" w:sz="0" w:space="0" w:color="auto"/>
        <w:left w:val="none" w:sz="0" w:space="0" w:color="auto"/>
        <w:bottom w:val="none" w:sz="0" w:space="0" w:color="auto"/>
        <w:right w:val="none" w:sz="0" w:space="0" w:color="auto"/>
      </w:divBdr>
    </w:div>
    <w:div w:id="1916814221">
      <w:bodyDiv w:val="1"/>
      <w:marLeft w:val="0"/>
      <w:marRight w:val="0"/>
      <w:marTop w:val="0"/>
      <w:marBottom w:val="0"/>
      <w:divBdr>
        <w:top w:val="none" w:sz="0" w:space="0" w:color="auto"/>
        <w:left w:val="none" w:sz="0" w:space="0" w:color="auto"/>
        <w:bottom w:val="none" w:sz="0" w:space="0" w:color="auto"/>
        <w:right w:val="none" w:sz="0" w:space="0" w:color="auto"/>
      </w:divBdr>
    </w:div>
    <w:div w:id="1931696609">
      <w:bodyDiv w:val="1"/>
      <w:marLeft w:val="0"/>
      <w:marRight w:val="0"/>
      <w:marTop w:val="0"/>
      <w:marBottom w:val="0"/>
      <w:divBdr>
        <w:top w:val="none" w:sz="0" w:space="0" w:color="auto"/>
        <w:left w:val="none" w:sz="0" w:space="0" w:color="auto"/>
        <w:bottom w:val="none" w:sz="0" w:space="0" w:color="auto"/>
        <w:right w:val="none" w:sz="0" w:space="0" w:color="auto"/>
      </w:divBdr>
    </w:div>
    <w:div w:id="2026596567">
      <w:bodyDiv w:val="1"/>
      <w:marLeft w:val="0"/>
      <w:marRight w:val="0"/>
      <w:marTop w:val="0"/>
      <w:marBottom w:val="0"/>
      <w:divBdr>
        <w:top w:val="none" w:sz="0" w:space="0" w:color="auto"/>
        <w:left w:val="none" w:sz="0" w:space="0" w:color="auto"/>
        <w:bottom w:val="none" w:sz="0" w:space="0" w:color="auto"/>
        <w:right w:val="none" w:sz="0" w:space="0" w:color="auto"/>
      </w:divBdr>
    </w:div>
    <w:div w:id="2073503466">
      <w:bodyDiv w:val="1"/>
      <w:marLeft w:val="0"/>
      <w:marRight w:val="0"/>
      <w:marTop w:val="0"/>
      <w:marBottom w:val="0"/>
      <w:divBdr>
        <w:top w:val="none" w:sz="0" w:space="0" w:color="auto"/>
        <w:left w:val="none" w:sz="0" w:space="0" w:color="auto"/>
        <w:bottom w:val="none" w:sz="0" w:space="0" w:color="auto"/>
        <w:right w:val="none" w:sz="0" w:space="0" w:color="auto"/>
      </w:divBdr>
    </w:div>
    <w:div w:id="209736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ct.io/Press-Releases/index/PR/Server/QCT-Now-Offering-AMD-EPYC-7002-Series-Processor-Based-Systems-to-Customers-Who-Want-to-Transform-Their-Data-Centers/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ct.i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yignite.techcommunity.microsoft.com/sessions/819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6686-08D8-487E-A61B-D7470E1C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1&amp;1</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 de La Seigliere</dc:creator>
  <cp:keywords>CTPClassification=CTP_IC:VisualMarkings=</cp:keywords>
  <cp:lastModifiedBy>Shaw Peng Yang</cp:lastModifiedBy>
  <cp:revision>2</cp:revision>
  <cp:lastPrinted>2019-11-18T02:08:00Z</cp:lastPrinted>
  <dcterms:created xsi:type="dcterms:W3CDTF">2019-11-18T03:11:00Z</dcterms:created>
  <dcterms:modified xsi:type="dcterms:W3CDTF">2019-11-18T03:11:00Z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b093fe61-32a6-4a04-abf2-d5e3f2fe0c87</vt:lpwstr>
  </property>
  <property fmtid="{D5CDD505-2E9C-101B-9397-08002B2CF9AE}" pid="3" name="CTP_BU">
    <vt:lpwstr>DATACNTR MARKETING GRP</vt:lpwstr>
  </property>
  <property fmtid="{D5CDD505-2E9C-101B-9397-08002B2CF9AE}" pid="4" name="CTP_TimeStamp">
    <vt:lpwstr>2017-06-27 06:56:55Z</vt:lpwstr>
  </property>
  <property fmtid="{D5CDD505-2E9C-101B-9397-08002B2CF9AE}" pid="5" name="CTPClassification">
    <vt:lpwstr>CTP_IC</vt:lpwstr>
  </property>
</Properties>
</file>