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86" w:rsidRDefault="0079488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605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PC Logo w. Side Shiel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886" w:rsidRPr="00794886" w:rsidRDefault="00794886" w:rsidP="00794886">
      <w:pPr>
        <w:jc w:val="center"/>
        <w:rPr>
          <w:sz w:val="20"/>
          <w:szCs w:val="20"/>
        </w:rPr>
      </w:pPr>
    </w:p>
    <w:p w:rsidR="00794886" w:rsidRPr="00794886" w:rsidRDefault="00794886" w:rsidP="00794886">
      <w:pPr>
        <w:jc w:val="center"/>
        <w:rPr>
          <w:sz w:val="24"/>
          <w:szCs w:val="24"/>
        </w:rPr>
      </w:pPr>
      <w:r w:rsidRPr="00794886">
        <w:rPr>
          <w:sz w:val="24"/>
          <w:szCs w:val="24"/>
        </w:rPr>
        <w:t>6849 Old Dominion Drive, Suite 220</w:t>
      </w:r>
    </w:p>
    <w:p w:rsidR="00794886" w:rsidRPr="00794886" w:rsidRDefault="00794886" w:rsidP="00794886">
      <w:pPr>
        <w:jc w:val="center"/>
        <w:rPr>
          <w:sz w:val="24"/>
          <w:szCs w:val="24"/>
        </w:rPr>
      </w:pPr>
      <w:r w:rsidRPr="00794886">
        <w:rPr>
          <w:sz w:val="24"/>
          <w:szCs w:val="24"/>
        </w:rPr>
        <w:t>McLean, Virginia 22010</w:t>
      </w:r>
    </w:p>
    <w:p w:rsidR="00794886" w:rsidRPr="00794886" w:rsidRDefault="00794886" w:rsidP="00794886">
      <w:pPr>
        <w:jc w:val="center"/>
        <w:rPr>
          <w:sz w:val="24"/>
          <w:szCs w:val="24"/>
        </w:rPr>
      </w:pPr>
      <w:r w:rsidRPr="00794886">
        <w:rPr>
          <w:sz w:val="24"/>
          <w:szCs w:val="24"/>
        </w:rPr>
        <w:t>Phone:  703-556-0411 / Fax:  703-774-3965</w:t>
      </w:r>
    </w:p>
    <w:p w:rsidR="00794886" w:rsidRPr="00794886" w:rsidRDefault="00794886" w:rsidP="00794886">
      <w:pPr>
        <w:jc w:val="center"/>
        <w:rPr>
          <w:sz w:val="24"/>
          <w:szCs w:val="24"/>
        </w:rPr>
      </w:pPr>
      <w:r w:rsidRPr="00794886">
        <w:rPr>
          <w:sz w:val="24"/>
          <w:szCs w:val="24"/>
        </w:rPr>
        <w:t xml:space="preserve">Web:  </w:t>
      </w:r>
      <w:hyperlink r:id="rId6" w:history="1">
        <w:r w:rsidRPr="00794886">
          <w:rPr>
            <w:rStyle w:val="Hyperlink"/>
            <w:sz w:val="24"/>
            <w:szCs w:val="24"/>
          </w:rPr>
          <w:t>www.generalcounsellaw.com</w:t>
        </w:r>
      </w:hyperlink>
      <w:r w:rsidRPr="00794886">
        <w:rPr>
          <w:sz w:val="24"/>
          <w:szCs w:val="24"/>
        </w:rPr>
        <w:t xml:space="preserve"> </w:t>
      </w:r>
    </w:p>
    <w:p w:rsidR="00794886" w:rsidRDefault="00794886">
      <w:pPr>
        <w:rPr>
          <w:sz w:val="28"/>
          <w:szCs w:val="28"/>
        </w:rPr>
      </w:pPr>
    </w:p>
    <w:p w:rsidR="000A759A" w:rsidRPr="003D68F1" w:rsidRDefault="007B23B7">
      <w:pPr>
        <w:rPr>
          <w:b/>
          <w:sz w:val="28"/>
          <w:szCs w:val="28"/>
        </w:rPr>
      </w:pPr>
      <w:r w:rsidRPr="003D68F1">
        <w:rPr>
          <w:b/>
          <w:sz w:val="28"/>
          <w:szCs w:val="28"/>
        </w:rPr>
        <w:t>PRESS RELEASE</w:t>
      </w:r>
    </w:p>
    <w:p w:rsidR="007B23B7" w:rsidRPr="003D68F1" w:rsidRDefault="007B23B7">
      <w:pPr>
        <w:rPr>
          <w:b/>
          <w:sz w:val="28"/>
          <w:szCs w:val="28"/>
        </w:rPr>
      </w:pPr>
      <w:r w:rsidRPr="003D68F1">
        <w:rPr>
          <w:b/>
          <w:sz w:val="28"/>
          <w:szCs w:val="28"/>
        </w:rPr>
        <w:t>FOR IMMEDIATE RELEASE</w:t>
      </w:r>
    </w:p>
    <w:p w:rsidR="007B23B7" w:rsidRDefault="007B23B7"/>
    <w:p w:rsidR="003239AD" w:rsidRDefault="003239AD">
      <w:r>
        <w:t>Contact: Merritt Green, Founder/Managing Partner, General Counsel, P.C.</w:t>
      </w:r>
    </w:p>
    <w:p w:rsidR="003239AD" w:rsidRDefault="003239AD" w:rsidP="003239AD">
      <w:pPr>
        <w:ind w:firstLine="720"/>
      </w:pPr>
      <w:r>
        <w:t xml:space="preserve">  703-556-0411 or </w:t>
      </w:r>
      <w:hyperlink r:id="rId7" w:history="1">
        <w:r w:rsidRPr="00BF15F2">
          <w:rPr>
            <w:rStyle w:val="Hyperlink"/>
          </w:rPr>
          <w:t>mgreen@gcpc.com</w:t>
        </w:r>
      </w:hyperlink>
    </w:p>
    <w:p w:rsidR="003239AD" w:rsidRDefault="003239AD">
      <w:r>
        <w:tab/>
      </w:r>
    </w:p>
    <w:p w:rsidR="007B23B7" w:rsidRDefault="00330EF9" w:rsidP="003239AD">
      <w:pPr>
        <w:jc w:val="center"/>
      </w:pPr>
      <w:r>
        <w:rPr>
          <w:b/>
          <w:sz w:val="32"/>
          <w:szCs w:val="32"/>
        </w:rPr>
        <w:t xml:space="preserve">Employer Obligations and Penalties </w:t>
      </w:r>
      <w:r w:rsidR="007E03B3">
        <w:rPr>
          <w:b/>
          <w:sz w:val="32"/>
          <w:szCs w:val="32"/>
        </w:rPr>
        <w:t>R</w:t>
      </w:r>
      <w:bookmarkStart w:id="0" w:name="_GoBack"/>
      <w:bookmarkEnd w:id="0"/>
      <w:r w:rsidR="00D13E04">
        <w:rPr>
          <w:b/>
          <w:sz w:val="32"/>
          <w:szCs w:val="32"/>
        </w:rPr>
        <w:t xml:space="preserve">elated to Virginia Mandatory </w:t>
      </w:r>
      <w:r>
        <w:rPr>
          <w:b/>
          <w:sz w:val="32"/>
          <w:szCs w:val="32"/>
        </w:rPr>
        <w:t>COVID-19 Emergency Temporary Standard</w:t>
      </w:r>
      <w:r w:rsidR="00436F9D">
        <w:t xml:space="preserve"> </w:t>
      </w:r>
      <w:r w:rsidR="00436F9D">
        <w:br/>
        <w:t>A</w:t>
      </w:r>
      <w:r w:rsidR="007B23B7">
        <w:t>ll Virginia employers MUST comply by August 26, 2020.</w:t>
      </w:r>
    </w:p>
    <w:p w:rsidR="007B23B7" w:rsidRDefault="007B23B7"/>
    <w:p w:rsidR="008417DF" w:rsidRDefault="003961FA">
      <w:r>
        <w:t>August 2</w:t>
      </w:r>
      <w:r w:rsidR="00B42CED">
        <w:t>6</w:t>
      </w:r>
      <w:r w:rsidR="005E7DA9">
        <w:t>, 2020…</w:t>
      </w:r>
      <w:r w:rsidR="007B23B7">
        <w:t>McLean, VA</w:t>
      </w:r>
      <w:r w:rsidR="005E7DA9">
        <w:t>…</w:t>
      </w:r>
      <w:r w:rsidR="0040501F" w:rsidRPr="00330EF9">
        <w:t xml:space="preserve">Virginia’s </w:t>
      </w:r>
      <w:r w:rsidR="0040501F" w:rsidRPr="00330EF9">
        <w:rPr>
          <w:b/>
        </w:rPr>
        <w:t>COVID-19 Emergency Temporary Standard</w:t>
      </w:r>
      <w:r w:rsidR="0040501F" w:rsidRPr="00330EF9">
        <w:t xml:space="preserve"> (Standard)</w:t>
      </w:r>
      <w:r w:rsidR="00652751">
        <w:t xml:space="preserve"> lays down strict standards to keep Virginians safe at work and to aid in stopping the spread of COVID-19. </w:t>
      </w:r>
    </w:p>
    <w:p w:rsidR="003D68F1" w:rsidRDefault="008417DF">
      <w:r>
        <w:t xml:space="preserve"> </w:t>
      </w:r>
    </w:p>
    <w:p w:rsidR="003D68F1" w:rsidRDefault="003D68F1">
      <w:r>
        <w:t>“</w:t>
      </w:r>
      <w:r w:rsidR="00CC13EA">
        <w:t>E</w:t>
      </w:r>
      <w:r w:rsidR="00652751">
        <w:t xml:space="preserve">mployers need to understand some of their obligations and penalties, </w:t>
      </w:r>
      <w:r w:rsidR="00CC13EA">
        <w:t xml:space="preserve">so </w:t>
      </w:r>
      <w:r w:rsidR="00652751">
        <w:t>we’ve broken down the Standard into some of it components</w:t>
      </w:r>
      <w:r w:rsidR="00CC13EA">
        <w:t>, and offer</w:t>
      </w:r>
      <w:r w:rsidR="00652751">
        <w:t xml:space="preserve"> a brief overview of risk categories and responsibilities</w:t>
      </w:r>
      <w:r w:rsidR="008417DF">
        <w:t>,</w:t>
      </w:r>
      <w:r>
        <w:t>” said Merritt Green,</w:t>
      </w:r>
      <w:r w:rsidR="008417DF">
        <w:t xml:space="preserve"> </w:t>
      </w:r>
      <w:r w:rsidR="008417DF" w:rsidRPr="008417DF">
        <w:t>Founder/Managing Partner of McLean-based legal firm General Counsel, P.C.</w:t>
      </w:r>
      <w:r w:rsidR="00652751">
        <w:t xml:space="preserve"> “</w:t>
      </w:r>
      <w:r w:rsidR="007673FB">
        <w:t>A</w:t>
      </w:r>
      <w:r w:rsidR="00652751">
        <w:t>s an employment attorney, I want to help Virginians simplify the process</w:t>
      </w:r>
      <w:r w:rsidR="00CC13EA">
        <w:t xml:space="preserve"> by both </w:t>
      </w:r>
      <w:r w:rsidR="007673FB">
        <w:t>interpreting</w:t>
      </w:r>
      <w:r w:rsidR="00CC13EA">
        <w:t xml:space="preserve"> it and providing easy access to required documents</w:t>
      </w:r>
      <w:r w:rsidR="00652751">
        <w:t>.”</w:t>
      </w:r>
    </w:p>
    <w:p w:rsidR="008417DF" w:rsidRDefault="008417DF"/>
    <w:p w:rsidR="008417DF" w:rsidRDefault="008417DF" w:rsidP="008417DF">
      <w:r>
        <w:t>Most Virginia employers, and all state-owned and operated businesses and offices MUST</w:t>
      </w:r>
      <w:r w:rsidRPr="00330EF9">
        <w:t xml:space="preserve"> comply with Virginia’s Standard</w:t>
      </w:r>
      <w:r>
        <w:t xml:space="preserve"> by implem</w:t>
      </w:r>
      <w:r w:rsidR="00CC13EA">
        <w:t>enting the following</w:t>
      </w:r>
      <w:r>
        <w:t>. The deadline for compliance is August 26, 2020.</w:t>
      </w:r>
    </w:p>
    <w:p w:rsidR="00330EF9" w:rsidRDefault="00330EF9"/>
    <w:p w:rsidR="00657ED1" w:rsidRPr="00657ED1" w:rsidRDefault="00657ED1">
      <w:pPr>
        <w:rPr>
          <w:b/>
          <w:sz w:val="24"/>
          <w:szCs w:val="24"/>
        </w:rPr>
      </w:pPr>
      <w:r w:rsidRPr="00657ED1">
        <w:rPr>
          <w:b/>
          <w:sz w:val="24"/>
          <w:szCs w:val="24"/>
        </w:rPr>
        <w:t>Employer Requirements</w:t>
      </w:r>
    </w:p>
    <w:p w:rsidR="00330EF9" w:rsidRDefault="00330EF9" w:rsidP="00330EF9">
      <w:pPr>
        <w:pStyle w:val="ListParagraph"/>
        <w:numPr>
          <w:ilvl w:val="0"/>
          <w:numId w:val="2"/>
        </w:numPr>
      </w:pPr>
      <w:r w:rsidRPr="00330EF9">
        <w:rPr>
          <w:b/>
        </w:rPr>
        <w:t>Self-ranking and Applicability.</w:t>
      </w:r>
      <w:r>
        <w:t xml:space="preserve"> Employers must rank themselves in exposure and exposure risk categories ranging from “very high” to “lower,” and meet specific requirements for each.</w:t>
      </w:r>
    </w:p>
    <w:p w:rsidR="00330EF9" w:rsidRDefault="00330EF9" w:rsidP="00330EF9">
      <w:pPr>
        <w:pStyle w:val="ListParagraph"/>
        <w:numPr>
          <w:ilvl w:val="0"/>
          <w:numId w:val="2"/>
        </w:numPr>
      </w:pPr>
      <w:r w:rsidRPr="00657ED1">
        <w:rPr>
          <w:b/>
        </w:rPr>
        <w:t>Preventive and Response Plans.</w:t>
      </w:r>
      <w:r w:rsidR="00CC13EA">
        <w:t xml:space="preserve"> Employers in</w:t>
      </w:r>
      <w:r>
        <w:t xml:space="preserve"> “very high” or “high” categories must develop and implement a written Infection Disease Preparedness Plan, which must be distributed to </w:t>
      </w:r>
      <w:r w:rsidR="00A85B08">
        <w:t>employees</w:t>
      </w:r>
      <w:r>
        <w:t>. Employers within the “medium” exposure category, with 11 or more employees, must also prepare the written plan. No such requirement</w:t>
      </w:r>
      <w:r w:rsidR="00652751">
        <w:t xml:space="preserve"> is mandated</w:t>
      </w:r>
      <w:r>
        <w:t xml:space="preserve"> for “medium” risk employers with 10 or fewer employees</w:t>
      </w:r>
      <w:r w:rsidR="00652751">
        <w:t>,</w:t>
      </w:r>
      <w:r>
        <w:t xml:space="preserve"> or “l</w:t>
      </w:r>
      <w:r w:rsidR="00652751">
        <w:t>ower” risk employers</w:t>
      </w:r>
      <w:r>
        <w:t>.</w:t>
      </w:r>
    </w:p>
    <w:p w:rsidR="00330EF9" w:rsidRDefault="00330EF9" w:rsidP="00330EF9">
      <w:pPr>
        <w:pStyle w:val="ListParagraph"/>
        <w:numPr>
          <w:ilvl w:val="0"/>
          <w:numId w:val="2"/>
        </w:numPr>
      </w:pPr>
      <w:r w:rsidRPr="00657ED1">
        <w:rPr>
          <w:b/>
        </w:rPr>
        <w:t>Preventive Measures.</w:t>
      </w:r>
      <w:r>
        <w:t xml:space="preserve"> Employers in certain risk categories are mandated to provide PPE and PPE training for employees</w:t>
      </w:r>
      <w:r w:rsidR="00657ED1">
        <w:t>, and must establish and implement a system for self-assessment and COVID-19 symptom screening, and implement procedures to prevent sick employees and others from infecting healthy employees. Compliance is required for heightened requirements for air handling system maintenance (i.e. HVAC systems).</w:t>
      </w:r>
    </w:p>
    <w:p w:rsidR="00657ED1" w:rsidRDefault="00657ED1" w:rsidP="00330EF9">
      <w:pPr>
        <w:pStyle w:val="ListParagraph"/>
        <w:numPr>
          <w:ilvl w:val="0"/>
          <w:numId w:val="2"/>
        </w:numPr>
      </w:pPr>
      <w:r w:rsidRPr="00657ED1">
        <w:rPr>
          <w:b/>
        </w:rPr>
        <w:lastRenderedPageBreak/>
        <w:t>Training.</w:t>
      </w:r>
      <w:r>
        <w:t xml:space="preserve"> Employers are required to train</w:t>
      </w:r>
      <w:r w:rsidR="00CC13EA">
        <w:t xml:space="preserve"> and inform employees on the</w:t>
      </w:r>
      <w:r>
        <w:t xml:space="preserve"> rules and regulations, COVID-19 transmission, PPE us</w:t>
      </w:r>
      <w:r w:rsidR="00CC13EA">
        <w:t>age, etc.</w:t>
      </w:r>
      <w:r>
        <w:t>, and must post this information in the workplace.</w:t>
      </w:r>
    </w:p>
    <w:p w:rsidR="00657ED1" w:rsidRDefault="00657ED1" w:rsidP="00330EF9">
      <w:pPr>
        <w:pStyle w:val="ListParagraph"/>
        <w:numPr>
          <w:ilvl w:val="0"/>
          <w:numId w:val="2"/>
        </w:numPr>
      </w:pPr>
      <w:r w:rsidRPr="00657ED1">
        <w:rPr>
          <w:b/>
        </w:rPr>
        <w:t>Return-to-Work Plans.</w:t>
      </w:r>
      <w:r>
        <w:t xml:space="preserve"> Employers must draft and </w:t>
      </w:r>
      <w:r w:rsidR="00CC13EA">
        <w:t xml:space="preserve">implement a return-to-work plan aimed towards employees </w:t>
      </w:r>
      <w:r>
        <w:t>who tested positive f</w:t>
      </w:r>
      <w:r w:rsidR="00CC13EA">
        <w:t xml:space="preserve">or COVID-19 and are now seeking </w:t>
      </w:r>
      <w:r>
        <w:t>re-entry into employment.</w:t>
      </w:r>
    </w:p>
    <w:p w:rsidR="00657ED1" w:rsidRDefault="00657ED1" w:rsidP="00330EF9">
      <w:pPr>
        <w:pStyle w:val="ListParagraph"/>
        <w:numPr>
          <w:ilvl w:val="0"/>
          <w:numId w:val="2"/>
        </w:numPr>
      </w:pPr>
      <w:r>
        <w:rPr>
          <w:b/>
        </w:rPr>
        <w:t>Retaliation Protection.</w:t>
      </w:r>
      <w:r>
        <w:t xml:space="preserve"> Employers are forbidden to retaliate against an employee who files a complaint or expresses concern with, or relating to, the new COVID-19 rules and regulations.</w:t>
      </w:r>
    </w:p>
    <w:p w:rsidR="00657ED1" w:rsidRDefault="00657ED1" w:rsidP="00657ED1"/>
    <w:p w:rsidR="00657ED1" w:rsidRPr="00A85B08" w:rsidRDefault="00A85B08" w:rsidP="00657ED1">
      <w:pPr>
        <w:rPr>
          <w:b/>
          <w:sz w:val="24"/>
          <w:szCs w:val="24"/>
        </w:rPr>
      </w:pPr>
      <w:r w:rsidRPr="00A85B08">
        <w:rPr>
          <w:b/>
          <w:sz w:val="24"/>
          <w:szCs w:val="24"/>
        </w:rPr>
        <w:t xml:space="preserve">Employer </w:t>
      </w:r>
      <w:r w:rsidR="00657ED1" w:rsidRPr="00A85B08">
        <w:rPr>
          <w:b/>
          <w:sz w:val="24"/>
          <w:szCs w:val="24"/>
        </w:rPr>
        <w:t>Risk Categories</w:t>
      </w:r>
    </w:p>
    <w:p w:rsidR="00657ED1" w:rsidRDefault="00A85B08" w:rsidP="00657ED1">
      <w:r>
        <w:t>Virginia employers must rank themselves</w:t>
      </w:r>
      <w:r w:rsidR="00657ED1">
        <w:t xml:space="preserve"> within one of five (5) risk categories as outlined in the Standard, ranging from “very high” to “lower.”</w:t>
      </w:r>
    </w:p>
    <w:p w:rsidR="00657ED1" w:rsidRDefault="00657ED1" w:rsidP="00657ED1">
      <w:pPr>
        <w:pStyle w:val="ListParagraph"/>
        <w:numPr>
          <w:ilvl w:val="0"/>
          <w:numId w:val="2"/>
        </w:numPr>
      </w:pPr>
      <w:r w:rsidRPr="00A85B08">
        <w:rPr>
          <w:b/>
        </w:rPr>
        <w:t>Very High.</w:t>
      </w:r>
      <w:r>
        <w:t xml:space="preserve"> There is a </w:t>
      </w:r>
      <w:r w:rsidR="00A85B08">
        <w:t>very high potential</w:t>
      </w:r>
      <w:r>
        <w:t xml:space="preserve"> for employee expo</w:t>
      </w:r>
      <w:r w:rsidR="00A85B08">
        <w:t>sure to COVID-19. Commonly, thes</w:t>
      </w:r>
      <w:r>
        <w:t xml:space="preserve">e jobs expose </w:t>
      </w:r>
      <w:r w:rsidR="00A85B08">
        <w:t>employees</w:t>
      </w:r>
      <w:r>
        <w:t xml:space="preserve"> to aerosol generating procedures (e.g. intubations, dental procedures, invasive specimen collection, etc.,); </w:t>
      </w:r>
      <w:r w:rsidR="00B42CED">
        <w:t xml:space="preserve">or </w:t>
      </w:r>
      <w:r>
        <w:t>handling specimens</w:t>
      </w:r>
      <w:r w:rsidR="00A85B08">
        <w:t xml:space="preserve"> from or performing autopsies on </w:t>
      </w:r>
      <w:r>
        <w:t>persons suspected of or know</w:t>
      </w:r>
      <w:r w:rsidR="00A85B08">
        <w:t>n to have COVID-19.</w:t>
      </w:r>
    </w:p>
    <w:p w:rsidR="00A85B08" w:rsidRDefault="00A85B08" w:rsidP="00657ED1">
      <w:pPr>
        <w:pStyle w:val="ListParagraph"/>
        <w:numPr>
          <w:ilvl w:val="0"/>
          <w:numId w:val="2"/>
        </w:numPr>
      </w:pPr>
      <w:r w:rsidRPr="00A85B08">
        <w:rPr>
          <w:b/>
        </w:rPr>
        <w:t>High.</w:t>
      </w:r>
      <w:r>
        <w:t xml:space="preserve"> Jobs put employees in a position of high potential for exposure to COVID-19 within six feet. These jobs are commonly in the medical field, including mental health practitioners (e.g. doctors, dentists, pilots, flight attendants, etc.).</w:t>
      </w:r>
    </w:p>
    <w:p w:rsidR="00A85B08" w:rsidRDefault="00A85B08" w:rsidP="00657ED1">
      <w:pPr>
        <w:pStyle w:val="ListParagraph"/>
        <w:numPr>
          <w:ilvl w:val="0"/>
          <w:numId w:val="2"/>
        </w:numPr>
      </w:pPr>
      <w:r w:rsidRPr="00A85B08">
        <w:rPr>
          <w:b/>
        </w:rPr>
        <w:t>Medium.</w:t>
      </w:r>
      <w:r>
        <w:t xml:space="preserve"> Jobs require minimal contact with people known or suspected of having COVID-19 within six feet (e.g. restaurants, bars, indoor and outdoor construction, educational and day care facilities, pharmacies, food banks, gyms, etc.). (The majority of employers fall within this category.) There is a distinction between employers with 11 or more employees and those with 10 or fewer; employers with 11 or more employees must create an Infection Disease Preparedness and Response Plan.</w:t>
      </w:r>
    </w:p>
    <w:p w:rsidR="00A85B08" w:rsidRDefault="00A85B08" w:rsidP="00657ED1">
      <w:pPr>
        <w:pStyle w:val="ListParagraph"/>
        <w:numPr>
          <w:ilvl w:val="0"/>
          <w:numId w:val="2"/>
        </w:numPr>
      </w:pPr>
      <w:r>
        <w:rPr>
          <w:b/>
        </w:rPr>
        <w:t>Lower.</w:t>
      </w:r>
      <w:r>
        <w:t xml:space="preserve"> Jobs have a minimal risk of exposure through the implementation of engineering, administrative, and social practices control. These mainly include offices, where there is minimal contact with others.</w:t>
      </w:r>
    </w:p>
    <w:p w:rsidR="0040501F" w:rsidRDefault="0040501F" w:rsidP="0040501F">
      <w:pPr>
        <w:rPr>
          <w:b/>
        </w:rPr>
      </w:pPr>
    </w:p>
    <w:p w:rsidR="0040501F" w:rsidRPr="0040501F" w:rsidRDefault="0040501F" w:rsidP="0040501F">
      <w:pPr>
        <w:rPr>
          <w:b/>
        </w:rPr>
      </w:pPr>
      <w:r w:rsidRPr="0040501F">
        <w:rPr>
          <w:b/>
        </w:rPr>
        <w:t>Employer Penalties</w:t>
      </w:r>
    </w:p>
    <w:p w:rsidR="0040501F" w:rsidRDefault="0040501F" w:rsidP="0040501F">
      <w:pPr>
        <w:pStyle w:val="ListParagraph"/>
        <w:numPr>
          <w:ilvl w:val="0"/>
          <w:numId w:val="2"/>
        </w:numPr>
      </w:pPr>
      <w:r>
        <w:t>Employers must comply with all new regulations. Failure to do so could result in fines up to $135,000.00, depending upon the severity of the violation.</w:t>
      </w:r>
    </w:p>
    <w:p w:rsidR="00A85B08" w:rsidRDefault="00A85B08" w:rsidP="00A85B08"/>
    <w:p w:rsidR="00A85B08" w:rsidRPr="003D68F1" w:rsidRDefault="003D68F1" w:rsidP="00A85B08">
      <w:pPr>
        <w:rPr>
          <w:b/>
        </w:rPr>
      </w:pPr>
      <w:r w:rsidRPr="003D68F1">
        <w:rPr>
          <w:b/>
        </w:rPr>
        <w:t>Virginia Emergency Standard Forms Generator</w:t>
      </w:r>
      <w:r>
        <w:rPr>
          <w:b/>
        </w:rPr>
        <w:t xml:space="preserve"> (VES Forms Generator)</w:t>
      </w:r>
    </w:p>
    <w:p w:rsidR="00BB125D" w:rsidRPr="008417DF" w:rsidRDefault="003D68F1" w:rsidP="00BB125D">
      <w:r>
        <w:t>Business Compliance, LLC, in conjunction with the law firm General Counsel, P.C. provides access to an easy</w:t>
      </w:r>
      <w:r w:rsidR="00CC13EA">
        <w:t>-to-use</w:t>
      </w:r>
      <w:r>
        <w:t xml:space="preserve"> and inexpensive way for Virginia employers to access the forms, training, and documents required to </w:t>
      </w:r>
      <w:r w:rsidRPr="00652751">
        <w:t>comply with the Standard</w:t>
      </w:r>
      <w:r w:rsidR="008417DF" w:rsidRPr="00652751">
        <w:t xml:space="preserve">: the </w:t>
      </w:r>
      <w:r w:rsidR="008417DF" w:rsidRPr="00652751">
        <w:rPr>
          <w:b/>
        </w:rPr>
        <w:t>COVID-19 Virginia Emergency Standard Forms Generator</w:t>
      </w:r>
      <w:r w:rsidR="008417DF" w:rsidRPr="00652751">
        <w:t xml:space="preserve"> (“VES Forms Generator</w:t>
      </w:r>
      <w:r w:rsidR="00652751" w:rsidRPr="00652751">
        <w:t>”</w:t>
      </w:r>
      <w:r w:rsidR="00CC13EA">
        <w:t xml:space="preserve"> accessible at: </w:t>
      </w:r>
      <w:hyperlink r:id="rId8" w:history="1">
        <w:r w:rsidR="00BB125D" w:rsidRPr="00652751">
          <w:rPr>
            <w:rStyle w:val="Hyperlink"/>
          </w:rPr>
          <w:t>https://www.generalcounsellaw.com/ves_forms_generator/</w:t>
        </w:r>
      </w:hyperlink>
      <w:r w:rsidR="00BB125D" w:rsidRPr="00652751">
        <w:t xml:space="preserve"> or </w:t>
      </w:r>
      <w:hyperlink r:id="rId9" w:history="1">
        <w:r w:rsidR="00BB125D" w:rsidRPr="00652751">
          <w:rPr>
            <w:rStyle w:val="Hyperlink"/>
          </w:rPr>
          <w:t>www.covidcomplianceplans.com</w:t>
        </w:r>
      </w:hyperlink>
      <w:r w:rsidR="00BB125D" w:rsidRPr="00652751">
        <w:t xml:space="preserve">. </w:t>
      </w:r>
    </w:p>
    <w:p w:rsidR="004C161C" w:rsidRDefault="004C161C"/>
    <w:p w:rsidR="00CC13EA" w:rsidRDefault="00CC13EA"/>
    <w:p w:rsidR="004C161C" w:rsidRPr="003239AD" w:rsidRDefault="00A15473">
      <w:pPr>
        <w:rPr>
          <w:b/>
        </w:rPr>
      </w:pPr>
      <w:r>
        <w:rPr>
          <w:b/>
        </w:rPr>
        <w:t xml:space="preserve">Media: </w:t>
      </w:r>
      <w:r w:rsidR="004C161C" w:rsidRPr="003239AD">
        <w:rPr>
          <w:b/>
        </w:rPr>
        <w:t>For More Information</w:t>
      </w:r>
    </w:p>
    <w:p w:rsidR="00CC13EA" w:rsidRDefault="004C161C">
      <w:r>
        <w:t>For more information about Virginia’s COVID-19 Emergency Temporary Standard, please contact Merritt Green,</w:t>
      </w:r>
      <w:r w:rsidR="003239AD">
        <w:t xml:space="preserve"> </w:t>
      </w:r>
      <w:r>
        <w:t xml:space="preserve">Founder and Managing Partner of General Counsel, P.C., a </w:t>
      </w:r>
      <w:r w:rsidR="003239AD">
        <w:t xml:space="preserve">McLean, VA-based, </w:t>
      </w:r>
      <w:r>
        <w:t xml:space="preserve">full-service law firm providing comprehensive legal services for business ranging from start-up to multi-billion dollar organizations. </w:t>
      </w:r>
      <w:r w:rsidR="00A15473">
        <w:t xml:space="preserve"> Contact Mr. Green at </w:t>
      </w:r>
      <w:r w:rsidR="003239AD">
        <w:t xml:space="preserve">703-556-0411 or </w:t>
      </w:r>
      <w:hyperlink r:id="rId10" w:history="1">
        <w:r w:rsidR="003239AD" w:rsidRPr="00BF15F2">
          <w:rPr>
            <w:rStyle w:val="Hyperlink"/>
          </w:rPr>
          <w:t>mgreen@gcpc.com</w:t>
        </w:r>
      </w:hyperlink>
      <w:r w:rsidR="00A15473">
        <w:t>;</w:t>
      </w:r>
      <w:r w:rsidR="003239AD">
        <w:t xml:space="preserve"> </w:t>
      </w:r>
      <w:hyperlink r:id="rId11" w:history="1">
        <w:r w:rsidR="003239AD" w:rsidRPr="00BF15F2">
          <w:rPr>
            <w:rStyle w:val="Hyperlink"/>
          </w:rPr>
          <w:t>www.generalcounsellaw.com</w:t>
        </w:r>
      </w:hyperlink>
      <w:r w:rsidR="003239AD">
        <w:t xml:space="preserve">. </w:t>
      </w:r>
    </w:p>
    <w:p w:rsidR="007B23B7" w:rsidRDefault="00A15473" w:rsidP="00CC13EA">
      <w:pPr>
        <w:jc w:val="center"/>
      </w:pPr>
      <w:r>
        <w:t># # #</w:t>
      </w:r>
    </w:p>
    <w:sectPr w:rsidR="007B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03410"/>
    <w:multiLevelType w:val="hybridMultilevel"/>
    <w:tmpl w:val="EC18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D0FD5"/>
    <w:multiLevelType w:val="hybridMultilevel"/>
    <w:tmpl w:val="A1C8F432"/>
    <w:lvl w:ilvl="0" w:tplc="451E1EE6">
      <w:start w:val="7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4F"/>
    <w:rsid w:val="000A759A"/>
    <w:rsid w:val="000A764F"/>
    <w:rsid w:val="002C5998"/>
    <w:rsid w:val="003239AD"/>
    <w:rsid w:val="00330EF9"/>
    <w:rsid w:val="003961FA"/>
    <w:rsid w:val="003D68F1"/>
    <w:rsid w:val="0040501F"/>
    <w:rsid w:val="00436F9D"/>
    <w:rsid w:val="00494C31"/>
    <w:rsid w:val="004C161C"/>
    <w:rsid w:val="005164B8"/>
    <w:rsid w:val="005E7DA9"/>
    <w:rsid w:val="00652751"/>
    <w:rsid w:val="00657A7B"/>
    <w:rsid w:val="00657ED1"/>
    <w:rsid w:val="007673FB"/>
    <w:rsid w:val="00794886"/>
    <w:rsid w:val="007B23B7"/>
    <w:rsid w:val="007D01FB"/>
    <w:rsid w:val="007E03B3"/>
    <w:rsid w:val="008417DF"/>
    <w:rsid w:val="008F6E59"/>
    <w:rsid w:val="009B39BE"/>
    <w:rsid w:val="00A15473"/>
    <w:rsid w:val="00A85B08"/>
    <w:rsid w:val="00B42CED"/>
    <w:rsid w:val="00B444EE"/>
    <w:rsid w:val="00B45C3E"/>
    <w:rsid w:val="00BB125D"/>
    <w:rsid w:val="00CC13EA"/>
    <w:rsid w:val="00D13E04"/>
    <w:rsid w:val="00DA29A3"/>
    <w:rsid w:val="00EC2BD8"/>
    <w:rsid w:val="00F6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FFA9E-9DD5-413C-8B58-C6E31663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9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6F9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6F9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counsellaw.com/ves_forms_generato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green@gcp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neralcounsellaw.com" TargetMode="External"/><Relationship Id="rId11" Type="http://schemas.openxmlformats.org/officeDocument/2006/relationships/hyperlink" Target="http://www.generalcounsellaw.com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mgreen@gcp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vidcompliancepl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lmb</dc:creator>
  <cp:keywords/>
  <dc:description/>
  <cp:lastModifiedBy>lmb</cp:lastModifiedBy>
  <cp:revision>3</cp:revision>
  <cp:lastPrinted>2020-08-21T14:24:00Z</cp:lastPrinted>
  <dcterms:created xsi:type="dcterms:W3CDTF">2020-08-26T13:14:00Z</dcterms:created>
  <dcterms:modified xsi:type="dcterms:W3CDTF">2020-08-26T13:17:00Z</dcterms:modified>
</cp:coreProperties>
</file>