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F12BF1E" w14:textId="04D66C9E" w:rsidR="001432A1" w:rsidRPr="001432A1" w:rsidRDefault="001432A1" w:rsidP="001432A1">
      <w:pPr>
        <w:jc w:val="right"/>
        <w:rPr>
          <w:rFonts w:ascii="Times New Roman" w:eastAsia="Times New Roman" w:hAnsi="Times New Roman" w:cs="Times New Roman"/>
        </w:rPr>
      </w:pPr>
      <w:r w:rsidRPr="001432A1">
        <w:rPr>
          <w:rFonts w:ascii="Times New Roman" w:eastAsia="Times New Roman" w:hAnsi="Times New Roman" w:cs="Times New Roman"/>
        </w:rPr>
        <w:fldChar w:fldCharType="begin"/>
      </w:r>
      <w:r w:rsidR="00A55CAB">
        <w:rPr>
          <w:rFonts w:ascii="Times New Roman" w:eastAsia="Times New Roman" w:hAnsi="Times New Roman" w:cs="Times New Roman"/>
        </w:rPr>
        <w:instrText xml:space="preserve"> INCLUDEPICTURE "C:\\var\\folders\\bl\\rwqpc25n13l2cr80yn19j8t80000gn\\T\\com.microsoft.Word\\WebArchiveCopyPasteTempFiles\\page1image39458288" \* MERGEFORMAT </w:instrText>
      </w:r>
      <w:r w:rsidRPr="001432A1">
        <w:rPr>
          <w:rFonts w:ascii="Times New Roman" w:eastAsia="Times New Roman" w:hAnsi="Times New Roman" w:cs="Times New Roman"/>
        </w:rPr>
        <w:fldChar w:fldCharType="separate"/>
      </w:r>
      <w:r w:rsidRPr="001432A1">
        <w:rPr>
          <w:rFonts w:ascii="Times New Roman" w:eastAsia="Times New Roman" w:hAnsi="Times New Roman" w:cs="Times New Roman"/>
          <w:noProof/>
        </w:rPr>
        <w:drawing>
          <wp:inline distT="0" distB="0" distL="0" distR="0" wp14:anchorId="13195D08" wp14:editId="1CA23D2F">
            <wp:extent cx="2357120" cy="528320"/>
            <wp:effectExtent l="0" t="0" r="5080" b="5080"/>
            <wp:docPr id="1" name="Picture 1" descr="page1image39458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94582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7120" cy="528320"/>
                    </a:xfrm>
                    <a:prstGeom prst="rect">
                      <a:avLst/>
                    </a:prstGeom>
                    <a:noFill/>
                    <a:ln>
                      <a:noFill/>
                    </a:ln>
                  </pic:spPr>
                </pic:pic>
              </a:graphicData>
            </a:graphic>
          </wp:inline>
        </w:drawing>
      </w:r>
      <w:r w:rsidRPr="001432A1">
        <w:rPr>
          <w:rFonts w:ascii="Times New Roman" w:eastAsia="Times New Roman" w:hAnsi="Times New Roman" w:cs="Times New Roman"/>
        </w:rPr>
        <w:fldChar w:fldCharType="end"/>
      </w:r>
    </w:p>
    <w:p w14:paraId="48C90995" w14:textId="77777777" w:rsidR="001432A1" w:rsidRDefault="001432A1" w:rsidP="001432A1">
      <w:pPr>
        <w:contextualSpacing/>
        <w:jc w:val="right"/>
        <w:rPr>
          <w:rFonts w:ascii="Arial" w:eastAsia="Times New Roman" w:hAnsi="Arial" w:cs="Arial"/>
          <w:b/>
          <w:bCs/>
          <w:sz w:val="28"/>
          <w:szCs w:val="28"/>
        </w:rPr>
      </w:pPr>
      <w:r w:rsidRPr="001432A1">
        <w:rPr>
          <w:rFonts w:ascii="Arial" w:eastAsia="Times New Roman" w:hAnsi="Arial" w:cs="Arial"/>
          <w:b/>
          <w:bCs/>
          <w:sz w:val="28"/>
          <w:szCs w:val="28"/>
        </w:rPr>
        <w:t xml:space="preserve">PRESS RELEASE </w:t>
      </w:r>
    </w:p>
    <w:p w14:paraId="1D3AB91E" w14:textId="412DD708" w:rsidR="001432A1" w:rsidRPr="001432A1" w:rsidRDefault="001432A1" w:rsidP="001432A1">
      <w:pPr>
        <w:contextualSpacing/>
        <w:jc w:val="right"/>
        <w:rPr>
          <w:rFonts w:ascii="Times New Roman" w:eastAsia="Times New Roman" w:hAnsi="Times New Roman" w:cs="Times New Roman"/>
        </w:rPr>
      </w:pPr>
      <w:r w:rsidRPr="001432A1">
        <w:rPr>
          <w:rFonts w:ascii="Arial" w:eastAsia="Times New Roman" w:hAnsi="Arial" w:cs="Arial"/>
          <w:b/>
          <w:bCs/>
          <w:sz w:val="18"/>
          <w:szCs w:val="18"/>
        </w:rPr>
        <w:t xml:space="preserve">Contact: </w:t>
      </w:r>
      <w:r w:rsidR="0079389A">
        <w:rPr>
          <w:rFonts w:ascii="Arial" w:eastAsia="Times New Roman" w:hAnsi="Arial" w:cs="Arial"/>
          <w:b/>
          <w:bCs/>
          <w:sz w:val="18"/>
          <w:szCs w:val="18"/>
        </w:rPr>
        <w:t xml:space="preserve">Kerry </w:t>
      </w:r>
      <w:r w:rsidR="00D354A3">
        <w:rPr>
          <w:rFonts w:ascii="Arial" w:eastAsia="Times New Roman" w:hAnsi="Arial" w:cs="Arial"/>
          <w:b/>
          <w:bCs/>
          <w:sz w:val="18"/>
          <w:szCs w:val="18"/>
        </w:rPr>
        <w:t xml:space="preserve">Dolan </w:t>
      </w:r>
      <w:r w:rsidR="0079389A">
        <w:rPr>
          <w:rFonts w:ascii="Arial" w:eastAsia="Times New Roman" w:hAnsi="Arial" w:cs="Arial"/>
          <w:b/>
          <w:bCs/>
          <w:sz w:val="18"/>
          <w:szCs w:val="18"/>
        </w:rPr>
        <w:t>Schiappa</w:t>
      </w:r>
    </w:p>
    <w:p w14:paraId="780D66CC" w14:textId="169F35E9" w:rsidR="001432A1" w:rsidRDefault="001432A1" w:rsidP="001432A1">
      <w:pPr>
        <w:contextualSpacing/>
        <w:jc w:val="right"/>
        <w:rPr>
          <w:rFonts w:ascii="Arial" w:eastAsia="Times New Roman" w:hAnsi="Arial" w:cs="Arial"/>
          <w:b/>
          <w:bCs/>
          <w:sz w:val="18"/>
          <w:szCs w:val="18"/>
        </w:rPr>
      </w:pPr>
      <w:r w:rsidRPr="001432A1">
        <w:rPr>
          <w:rFonts w:ascii="Arial" w:eastAsia="Times New Roman" w:hAnsi="Arial" w:cs="Arial"/>
          <w:b/>
          <w:bCs/>
          <w:sz w:val="18"/>
          <w:szCs w:val="18"/>
        </w:rPr>
        <w:t xml:space="preserve">Office: 877-995-9000, opt 1, </w:t>
      </w:r>
      <w:proofErr w:type="spellStart"/>
      <w:r w:rsidRPr="001432A1">
        <w:rPr>
          <w:rFonts w:ascii="Arial" w:eastAsia="Times New Roman" w:hAnsi="Arial" w:cs="Arial"/>
          <w:b/>
          <w:bCs/>
          <w:sz w:val="18"/>
          <w:szCs w:val="18"/>
        </w:rPr>
        <w:t>ext</w:t>
      </w:r>
      <w:proofErr w:type="spellEnd"/>
      <w:r w:rsidRPr="001432A1">
        <w:rPr>
          <w:rFonts w:ascii="Arial" w:eastAsia="Times New Roman" w:hAnsi="Arial" w:cs="Arial"/>
          <w:b/>
          <w:bCs/>
          <w:sz w:val="18"/>
          <w:szCs w:val="18"/>
        </w:rPr>
        <w:t xml:space="preserve"> </w:t>
      </w:r>
      <w:r w:rsidR="0079389A">
        <w:rPr>
          <w:rFonts w:ascii="Arial" w:eastAsia="Times New Roman" w:hAnsi="Arial" w:cs="Arial"/>
          <w:b/>
          <w:bCs/>
          <w:sz w:val="18"/>
          <w:szCs w:val="18"/>
        </w:rPr>
        <w:t>4045</w:t>
      </w:r>
    </w:p>
    <w:p w14:paraId="70DC77DB" w14:textId="74E3E39D" w:rsidR="001432A1" w:rsidRPr="001432A1" w:rsidRDefault="001432A1" w:rsidP="001432A1">
      <w:pPr>
        <w:contextualSpacing/>
        <w:jc w:val="right"/>
        <w:rPr>
          <w:rFonts w:ascii="Times New Roman" w:eastAsia="Times New Roman" w:hAnsi="Times New Roman" w:cs="Times New Roman"/>
        </w:rPr>
      </w:pPr>
      <w:r w:rsidRPr="001432A1">
        <w:rPr>
          <w:rFonts w:ascii="Arial" w:eastAsia="Times New Roman" w:hAnsi="Arial" w:cs="Arial"/>
          <w:b/>
          <w:bCs/>
          <w:sz w:val="18"/>
          <w:szCs w:val="18"/>
        </w:rPr>
        <w:t xml:space="preserve">E-Mail: </w:t>
      </w:r>
      <w:r w:rsidR="0079389A">
        <w:rPr>
          <w:rFonts w:ascii="Arial" w:eastAsia="Times New Roman" w:hAnsi="Arial" w:cs="Arial"/>
          <w:b/>
          <w:bCs/>
          <w:sz w:val="18"/>
          <w:szCs w:val="18"/>
        </w:rPr>
        <w:t>kschiappa@wescomresources.com</w:t>
      </w:r>
      <w:r w:rsidRPr="001432A1">
        <w:rPr>
          <w:rFonts w:ascii="Arial" w:eastAsia="Times New Roman" w:hAnsi="Arial" w:cs="Arial"/>
          <w:b/>
          <w:bCs/>
          <w:sz w:val="18"/>
          <w:szCs w:val="18"/>
        </w:rPr>
        <w:t xml:space="preserve"> </w:t>
      </w:r>
    </w:p>
    <w:p w14:paraId="49D21505" w14:textId="77777777" w:rsidR="00F762D0" w:rsidRDefault="00F762D0" w:rsidP="00661A18"/>
    <w:p w14:paraId="198894F3" w14:textId="5BC4C379" w:rsidR="001432A1" w:rsidRDefault="001432A1" w:rsidP="00661A18">
      <w:r>
        <w:t>______________________________________________________________________________</w:t>
      </w:r>
    </w:p>
    <w:p w14:paraId="173F1337" w14:textId="77777777" w:rsidR="001432A1" w:rsidRDefault="001432A1" w:rsidP="00661A18"/>
    <w:p w14:paraId="1910CF28" w14:textId="3B68B32D" w:rsidR="00661A18" w:rsidRPr="001432A1" w:rsidRDefault="00661A18" w:rsidP="00661A18">
      <w:pPr>
        <w:rPr>
          <w:b/>
          <w:bCs/>
        </w:rPr>
      </w:pPr>
      <w:r w:rsidRPr="001432A1">
        <w:rPr>
          <w:b/>
          <w:bCs/>
        </w:rPr>
        <w:t>FOR IMMEDIATE RELEASE</w:t>
      </w:r>
    </w:p>
    <w:p w14:paraId="306DB79D" w14:textId="77777777" w:rsidR="00F762D0" w:rsidRDefault="00F762D0" w:rsidP="00661A18"/>
    <w:p w14:paraId="3D6E3AEC" w14:textId="77777777" w:rsidR="00CB5ECC" w:rsidRDefault="001A2EB0" w:rsidP="00F762D0">
      <w:pPr>
        <w:jc w:val="center"/>
        <w:rPr>
          <w:b/>
          <w:bCs/>
        </w:rPr>
      </w:pPr>
      <w:r w:rsidRPr="00717018">
        <w:rPr>
          <w:b/>
          <w:bCs/>
        </w:rPr>
        <w:t>Wescom Resources Group</w:t>
      </w:r>
      <w:r w:rsidR="00A64234" w:rsidRPr="00717018">
        <w:rPr>
          <w:b/>
          <w:bCs/>
        </w:rPr>
        <w:t xml:space="preserve"> </w:t>
      </w:r>
      <w:r w:rsidR="00DA651A" w:rsidRPr="00717018">
        <w:rPr>
          <w:b/>
          <w:bCs/>
        </w:rPr>
        <w:t xml:space="preserve">and </w:t>
      </w:r>
      <w:r w:rsidR="002D7B66" w:rsidRPr="00717018">
        <w:rPr>
          <w:b/>
          <w:bCs/>
        </w:rPr>
        <w:t>Member Support Services</w:t>
      </w:r>
    </w:p>
    <w:p w14:paraId="34E7E7EE" w14:textId="48D756E9" w:rsidR="00661A18" w:rsidRPr="00717018" w:rsidRDefault="00F56932" w:rsidP="00F762D0">
      <w:pPr>
        <w:jc w:val="center"/>
        <w:rPr>
          <w:b/>
          <w:bCs/>
        </w:rPr>
      </w:pPr>
      <w:r>
        <w:rPr>
          <w:b/>
          <w:bCs/>
        </w:rPr>
        <w:t>Partner to Help</w:t>
      </w:r>
      <w:r w:rsidR="00717018" w:rsidRPr="00717018">
        <w:rPr>
          <w:b/>
          <w:bCs/>
        </w:rPr>
        <w:t xml:space="preserve"> Credit Unions Scale</w:t>
      </w:r>
    </w:p>
    <w:p w14:paraId="6DBF6837" w14:textId="77777777" w:rsidR="00F762D0" w:rsidRPr="003A40FA" w:rsidRDefault="00F762D0" w:rsidP="00661A18">
      <w:pPr>
        <w:rPr>
          <w:highlight w:val="yellow"/>
        </w:rPr>
      </w:pPr>
    </w:p>
    <w:p w14:paraId="3FB96A5B" w14:textId="082E070F" w:rsidR="00661A18" w:rsidRPr="00F762D0" w:rsidRDefault="00F56932" w:rsidP="00661A18">
      <w:pPr>
        <w:rPr>
          <w:i/>
          <w:iCs/>
        </w:rPr>
      </w:pPr>
      <w:r>
        <w:rPr>
          <w:i/>
          <w:iCs/>
        </w:rPr>
        <w:t>Innovative technology</w:t>
      </w:r>
      <w:r w:rsidR="00717018" w:rsidRPr="00717018">
        <w:rPr>
          <w:i/>
          <w:iCs/>
        </w:rPr>
        <w:t xml:space="preserve"> </w:t>
      </w:r>
      <w:r w:rsidR="00DA651A" w:rsidRPr="00717018">
        <w:rPr>
          <w:i/>
          <w:iCs/>
        </w:rPr>
        <w:t xml:space="preserve">CUSOs </w:t>
      </w:r>
      <w:r w:rsidR="00717018" w:rsidRPr="00717018">
        <w:rPr>
          <w:i/>
          <w:iCs/>
        </w:rPr>
        <w:t xml:space="preserve">expand </w:t>
      </w:r>
      <w:r>
        <w:rPr>
          <w:i/>
          <w:iCs/>
        </w:rPr>
        <w:t>long-time</w:t>
      </w:r>
      <w:r w:rsidR="00717018" w:rsidRPr="00717018">
        <w:rPr>
          <w:i/>
          <w:iCs/>
        </w:rPr>
        <w:t xml:space="preserve"> relationship</w:t>
      </w:r>
      <w:r w:rsidR="00DA651A" w:rsidRPr="00717018">
        <w:rPr>
          <w:i/>
          <w:iCs/>
        </w:rPr>
        <w:t xml:space="preserve"> to </w:t>
      </w:r>
      <w:r>
        <w:rPr>
          <w:i/>
          <w:iCs/>
        </w:rPr>
        <w:t>support</w:t>
      </w:r>
      <w:r w:rsidR="00542208" w:rsidRPr="00717018">
        <w:rPr>
          <w:i/>
          <w:iCs/>
        </w:rPr>
        <w:t xml:space="preserve"> credit unions </w:t>
      </w:r>
      <w:r>
        <w:rPr>
          <w:i/>
          <w:iCs/>
        </w:rPr>
        <w:t>seeking enhanced</w:t>
      </w:r>
      <w:r w:rsidR="00717018" w:rsidRPr="00717018">
        <w:rPr>
          <w:i/>
          <w:iCs/>
        </w:rPr>
        <w:t xml:space="preserve"> operational efficienc</w:t>
      </w:r>
      <w:r>
        <w:rPr>
          <w:i/>
          <w:iCs/>
        </w:rPr>
        <w:t>ies</w:t>
      </w:r>
      <w:r w:rsidR="00717018" w:rsidRPr="00717018">
        <w:rPr>
          <w:i/>
          <w:iCs/>
        </w:rPr>
        <w:t xml:space="preserve"> and</w:t>
      </w:r>
      <w:r>
        <w:rPr>
          <w:i/>
          <w:iCs/>
        </w:rPr>
        <w:t xml:space="preserve"> industry-beating</w:t>
      </w:r>
      <w:r w:rsidR="00717018" w:rsidRPr="00717018">
        <w:rPr>
          <w:i/>
          <w:iCs/>
        </w:rPr>
        <w:t xml:space="preserve"> revenue </w:t>
      </w:r>
      <w:r>
        <w:rPr>
          <w:i/>
          <w:iCs/>
        </w:rPr>
        <w:t>growth</w:t>
      </w:r>
      <w:r w:rsidR="00F80609" w:rsidRPr="00717018">
        <w:rPr>
          <w:i/>
          <w:iCs/>
        </w:rPr>
        <w:t>.</w:t>
      </w:r>
    </w:p>
    <w:p w14:paraId="1C4B6F93" w14:textId="77777777" w:rsidR="00F762D0" w:rsidRDefault="00F762D0" w:rsidP="00661A18"/>
    <w:p w14:paraId="4731F72E" w14:textId="6E876B33" w:rsidR="00661A18" w:rsidRPr="0084270D" w:rsidRDefault="00661A18" w:rsidP="00661A18">
      <w:r w:rsidRPr="00762FA7">
        <w:rPr>
          <w:b/>
          <w:bCs/>
        </w:rPr>
        <w:t xml:space="preserve">Pasadena, Calif. – </w:t>
      </w:r>
      <w:r w:rsidR="0061383E">
        <w:rPr>
          <w:b/>
          <w:bCs/>
        </w:rPr>
        <w:t>March 1</w:t>
      </w:r>
      <w:r w:rsidR="000C4F1B">
        <w:rPr>
          <w:b/>
          <w:bCs/>
        </w:rPr>
        <w:t>, 2021</w:t>
      </w:r>
      <w:r w:rsidR="001178A4" w:rsidRPr="00762FA7">
        <w:rPr>
          <w:b/>
          <w:bCs/>
        </w:rPr>
        <w:t xml:space="preserve"> </w:t>
      </w:r>
      <w:r w:rsidRPr="00762FA7">
        <w:rPr>
          <w:b/>
          <w:bCs/>
        </w:rPr>
        <w:t>–</w:t>
      </w:r>
      <w:r w:rsidR="00F56932">
        <w:rPr>
          <w:b/>
          <w:bCs/>
        </w:rPr>
        <w:t xml:space="preserve"> </w:t>
      </w:r>
      <w:r w:rsidR="00F56932" w:rsidRPr="00F56932">
        <w:t>Two leading CUSOs,</w:t>
      </w:r>
      <w:r w:rsidR="00F56932">
        <w:rPr>
          <w:b/>
          <w:bCs/>
        </w:rPr>
        <w:t xml:space="preserve"> </w:t>
      </w:r>
      <w:r w:rsidRPr="0084270D">
        <w:t xml:space="preserve">Wescom Resources Group (WRG) </w:t>
      </w:r>
      <w:r w:rsidR="00DA651A" w:rsidRPr="0084270D">
        <w:t xml:space="preserve">and </w:t>
      </w:r>
      <w:r w:rsidR="0084270D" w:rsidRPr="0084270D">
        <w:t>Member Support Services, LLC (MSS)</w:t>
      </w:r>
      <w:r w:rsidR="00F56932">
        <w:t>,</w:t>
      </w:r>
      <w:r w:rsidR="0084270D" w:rsidRPr="0084270D">
        <w:t xml:space="preserve"> have announced </w:t>
      </w:r>
      <w:r w:rsidR="0084270D">
        <w:t>a strategic</w:t>
      </w:r>
      <w:r w:rsidR="0084270D" w:rsidRPr="0084270D">
        <w:t xml:space="preserve"> partnership </w:t>
      </w:r>
      <w:r w:rsidR="00F56932">
        <w:t>to</w:t>
      </w:r>
      <w:r w:rsidR="0084270D" w:rsidRPr="0084270D">
        <w:t xml:space="preserve"> benefit individual credit unions and the cooperative movement as a whole.</w:t>
      </w:r>
      <w:r w:rsidR="00E92987" w:rsidRPr="0084270D">
        <w:t xml:space="preserve"> </w:t>
      </w:r>
    </w:p>
    <w:p w14:paraId="414DA504" w14:textId="5AC054C8" w:rsidR="00542208" w:rsidRPr="003A40FA" w:rsidRDefault="00542208" w:rsidP="00661A18">
      <w:pPr>
        <w:rPr>
          <w:highlight w:val="yellow"/>
        </w:rPr>
      </w:pPr>
    </w:p>
    <w:p w14:paraId="2BE0A957" w14:textId="3C5BFBC9" w:rsidR="00455235" w:rsidRDefault="00F56932" w:rsidP="007252DA">
      <w:r>
        <w:t>With a goal of</w:t>
      </w:r>
      <w:r w:rsidR="00720298" w:rsidRPr="008A09C0">
        <w:t xml:space="preserve"> helping</w:t>
      </w:r>
      <w:r w:rsidR="008A09C0" w:rsidRPr="008A09C0">
        <w:t xml:space="preserve"> credit unions achieve efficiency through scale, this expanded partnership </w:t>
      </w:r>
      <w:r>
        <w:t>responds to the changing</w:t>
      </w:r>
      <w:r w:rsidR="008A09C0" w:rsidRPr="008A09C0">
        <w:t xml:space="preserve"> nature of retail financial services</w:t>
      </w:r>
      <w:r>
        <w:t xml:space="preserve">, an evolution that has accelerated during the </w:t>
      </w:r>
      <w:r w:rsidR="008A09C0" w:rsidRPr="008A09C0">
        <w:t>COVID-19</w:t>
      </w:r>
      <w:r>
        <w:t xml:space="preserve"> pandemic crisis</w:t>
      </w:r>
      <w:r w:rsidR="008A09C0" w:rsidRPr="008A09C0">
        <w:t xml:space="preserve">. </w:t>
      </w:r>
      <w:r>
        <w:t>Recognizing that i</w:t>
      </w:r>
      <w:r w:rsidR="008A09C0" w:rsidRPr="008A09C0">
        <w:t xml:space="preserve">nvestments can be leveraged more effectively when shared across multiple financial institutions, </w:t>
      </w:r>
      <w:r>
        <w:t>this partnership is</w:t>
      </w:r>
      <w:r w:rsidR="008A09C0" w:rsidRPr="008A09C0">
        <w:t xml:space="preserve"> tailor-made for the cooperative mission of credit union</w:t>
      </w:r>
      <w:r w:rsidR="006712B7">
        <w:t>s</w:t>
      </w:r>
      <w:r w:rsidR="008A09C0" w:rsidRPr="008A09C0">
        <w:t>.</w:t>
      </w:r>
    </w:p>
    <w:p w14:paraId="2FD71A73" w14:textId="6A1E6BBE" w:rsidR="0032409F" w:rsidRDefault="0032409F" w:rsidP="007252DA"/>
    <w:p w14:paraId="1D17635E" w14:textId="77777777" w:rsidR="00B24940" w:rsidRPr="0007407B" w:rsidRDefault="00B24940" w:rsidP="00B24940">
      <w:r w:rsidRPr="0007407B">
        <w:t xml:space="preserve">WRG provides credit unions with a powerful backbone of back office and technology support through solutions like Unitri Core Hosting and the Tellergy® on </w:t>
      </w:r>
      <w:proofErr w:type="spellStart"/>
      <w:r w:rsidRPr="0007407B">
        <w:t>Verifone</w:t>
      </w:r>
      <w:proofErr w:type="spellEnd"/>
      <w:r w:rsidRPr="0007407B">
        <w:t xml:space="preserve"> multimedia teller line terminals, allowing credit unions of all sizes to experience world class performance. Likewise, MSS has deployed a model prevalent in global financial institutions, Fortune 500 corporations and a few large credit unions to provide the benefits of scale economies in middle and back office operations.</w:t>
      </w:r>
    </w:p>
    <w:p w14:paraId="390885E9" w14:textId="7B6347AE" w:rsidR="000C4F1B" w:rsidRDefault="000C4F1B" w:rsidP="00661A18"/>
    <w:p w14:paraId="354C77D9" w14:textId="2FC21731" w:rsidR="00DA4887" w:rsidRDefault="00DA4887" w:rsidP="00661A18">
      <w:r>
        <w:t>“</w:t>
      </w:r>
      <w:r w:rsidR="007463CC" w:rsidRPr="00F63738">
        <w:t xml:space="preserve">Our owner credit unions have benefited from significant efficiencies and savings with meaningful impact on their ROA, </w:t>
      </w:r>
      <w:r w:rsidR="00DE3B91">
        <w:t>n</w:t>
      </w:r>
      <w:r w:rsidR="007463CC" w:rsidRPr="00F63738">
        <w:t xml:space="preserve">et </w:t>
      </w:r>
      <w:r w:rsidR="00DE3B91">
        <w:t>w</w:t>
      </w:r>
      <w:r w:rsidR="007463CC" w:rsidRPr="00F63738">
        <w:t xml:space="preserve">orth and </w:t>
      </w:r>
      <w:r w:rsidR="00DE3B91">
        <w:t>o</w:t>
      </w:r>
      <w:r w:rsidR="007463CC" w:rsidRPr="00F63738">
        <w:t xml:space="preserve">p </w:t>
      </w:r>
      <w:r w:rsidR="00DE3B91">
        <w:t>e</w:t>
      </w:r>
      <w:r w:rsidR="007463CC" w:rsidRPr="00F63738">
        <w:t xml:space="preserve">x ratios, </w:t>
      </w:r>
      <w:r w:rsidR="003A40FA">
        <w:t xml:space="preserve">and the ability to tap </w:t>
      </w:r>
      <w:r w:rsidR="006712B7">
        <w:t xml:space="preserve">the types of </w:t>
      </w:r>
      <w:r w:rsidR="003A40FA">
        <w:t xml:space="preserve">skilled talent a single institution may </w:t>
      </w:r>
      <w:r w:rsidR="00F56932">
        <w:t>have difficulty accessing</w:t>
      </w:r>
      <w:r w:rsidR="003A40FA">
        <w:t xml:space="preserve"> on </w:t>
      </w:r>
      <w:r w:rsidR="00F56932">
        <w:t>its</w:t>
      </w:r>
      <w:r w:rsidR="003A40FA">
        <w:t xml:space="preserve"> own,” says Vim Anand, CEO </w:t>
      </w:r>
      <w:r w:rsidR="00B35544">
        <w:t>of</w:t>
      </w:r>
      <w:r w:rsidR="003A40FA">
        <w:t xml:space="preserve"> MSS.  </w:t>
      </w:r>
      <w:r>
        <w:t xml:space="preserve">“We are excited to </w:t>
      </w:r>
      <w:r w:rsidR="003A40FA">
        <w:t>expand our long-time partnership</w:t>
      </w:r>
      <w:r>
        <w:t xml:space="preserve"> with Wescom Resources Group</w:t>
      </w:r>
      <w:r w:rsidR="003A40FA">
        <w:t xml:space="preserve"> as we together introduce innovative technology and operational solutions to the broader credit union movement</w:t>
      </w:r>
      <w:r>
        <w:t>.”</w:t>
      </w:r>
    </w:p>
    <w:p w14:paraId="5B28A678" w14:textId="41873D0F" w:rsidR="0084270D" w:rsidRDefault="0084270D" w:rsidP="00661A18"/>
    <w:p w14:paraId="7C3E3EC3" w14:textId="4B03A45A" w:rsidR="0084270D" w:rsidRDefault="0084270D" w:rsidP="00661A18">
      <w:r>
        <w:t>One example of how MSS</w:t>
      </w:r>
      <w:r w:rsidR="00F56932">
        <w:t>’s strategic investments</w:t>
      </w:r>
      <w:r>
        <w:t xml:space="preserve"> in </w:t>
      </w:r>
      <w:r w:rsidR="00AB365A">
        <w:t>top-</w:t>
      </w:r>
      <w:r w:rsidR="006712B7">
        <w:t>tier</w:t>
      </w:r>
      <w:r>
        <w:t xml:space="preserve"> skills and </w:t>
      </w:r>
      <w:r w:rsidR="00F56932">
        <w:t>expertise</w:t>
      </w:r>
      <w:r>
        <w:t xml:space="preserve"> </w:t>
      </w:r>
      <w:r w:rsidR="00F56932">
        <w:t>are benefitting</w:t>
      </w:r>
      <w:r>
        <w:t xml:space="preserve"> </w:t>
      </w:r>
      <w:r w:rsidR="00AB365A">
        <w:t>credit unions</w:t>
      </w:r>
      <w:r>
        <w:t xml:space="preserve"> is its recent </w:t>
      </w:r>
      <w:r w:rsidR="00130D6D">
        <w:t xml:space="preserve">move into </w:t>
      </w:r>
      <w:r>
        <w:t>card portfolio manage</w:t>
      </w:r>
      <w:r w:rsidR="00130D6D">
        <w:t xml:space="preserve">ment, </w:t>
      </w:r>
      <w:r w:rsidR="00F63738">
        <w:t>where it has invested</w:t>
      </w:r>
      <w:r w:rsidR="00130D6D">
        <w:t xml:space="preserve"> in talent and expertise typically seen at large banks only</w:t>
      </w:r>
      <w:r w:rsidR="00AB365A">
        <w:t>.</w:t>
      </w:r>
      <w:r w:rsidR="00F56932">
        <w:t xml:space="preserve"> </w:t>
      </w:r>
      <w:r w:rsidR="00130D6D">
        <w:t xml:space="preserve">All debit and credit card program initiatives are </w:t>
      </w:r>
      <w:r w:rsidR="00130D6D">
        <w:lastRenderedPageBreak/>
        <w:t xml:space="preserve">coordinated, </w:t>
      </w:r>
      <w:r>
        <w:t xml:space="preserve">enabling credit unions to </w:t>
      </w:r>
      <w:r w:rsidR="00717018">
        <w:t xml:space="preserve">grow </w:t>
      </w:r>
      <w:r w:rsidR="00AB365A">
        <w:t xml:space="preserve">their </w:t>
      </w:r>
      <w:r w:rsidR="00717018">
        <w:t>payment</w:t>
      </w:r>
      <w:r>
        <w:t xml:space="preserve"> revenues</w:t>
      </w:r>
      <w:r w:rsidR="00AB365A">
        <w:t xml:space="preserve"> and</w:t>
      </w:r>
      <w:r>
        <w:t xml:space="preserve"> demonstrating </w:t>
      </w:r>
      <w:r w:rsidR="006712B7">
        <w:t>how</w:t>
      </w:r>
      <w:r>
        <w:t xml:space="preserve"> the power of scale can lead to strategic growth in addition to cost savings. In </w:t>
      </w:r>
      <w:r w:rsidR="00AB365A">
        <w:t>today’s</w:t>
      </w:r>
      <w:r>
        <w:t xml:space="preserve"> low margin/</w:t>
      </w:r>
      <w:r w:rsidR="00AB365A">
        <w:t>low-rate</w:t>
      </w:r>
      <w:r>
        <w:t xml:space="preserve"> </w:t>
      </w:r>
      <w:r w:rsidR="00AB365A">
        <w:t xml:space="preserve">financial services </w:t>
      </w:r>
      <w:r>
        <w:t xml:space="preserve">environment, the ability to leverage such expertise efficiently and cost-effectively is </w:t>
      </w:r>
      <w:r w:rsidR="00717018">
        <w:t>critical</w:t>
      </w:r>
      <w:r>
        <w:t xml:space="preserve"> to </w:t>
      </w:r>
      <w:r w:rsidR="006712B7">
        <w:t>credit unions’</w:t>
      </w:r>
      <w:r>
        <w:t xml:space="preserve"> long-term success.</w:t>
      </w:r>
    </w:p>
    <w:p w14:paraId="49198476" w14:textId="72FB7626" w:rsidR="00DA4887" w:rsidRPr="00D34AEB" w:rsidRDefault="00DA4887" w:rsidP="00661A18"/>
    <w:p w14:paraId="5619999B" w14:textId="71C115ED" w:rsidR="00640E40" w:rsidRPr="00640E40" w:rsidRDefault="00640E40" w:rsidP="00640E40">
      <w:pPr>
        <w:rPr>
          <w:rFonts w:ascii="Times New Roman" w:eastAsia="Times New Roman" w:hAnsi="Times New Roman" w:cs="Times New Roman"/>
        </w:rPr>
      </w:pPr>
      <w:r w:rsidRPr="00E50481">
        <w:rPr>
          <w:rFonts w:ascii="Calibri" w:eastAsia="Times New Roman" w:hAnsi="Calibri" w:cs="Calibri"/>
          <w:color w:val="000000"/>
        </w:rPr>
        <w:t xml:space="preserve">“At WRG, we have proudly hosted MSS’s data processing since 2014,” says Dave Cerwinski, President of Wescom Resources Group, “At the same time, they’ve done an excellent job of creating cost efficiencies and service improvements for their credit union owners in other areas of operation, such as consumer lending, card processing, and collections.  The combined package of what MSS provides, along with WRG’s data processing solution, provides credit unions </w:t>
      </w:r>
      <w:r>
        <w:rPr>
          <w:rFonts w:ascii="Calibri" w:eastAsia="Times New Roman" w:hAnsi="Calibri" w:cs="Calibri"/>
          <w:color w:val="000000"/>
        </w:rPr>
        <w:t xml:space="preserve">with </w:t>
      </w:r>
      <w:r w:rsidRPr="00E50481">
        <w:rPr>
          <w:rFonts w:ascii="Calibri" w:eastAsia="Times New Roman" w:hAnsi="Calibri" w:cs="Calibri"/>
          <w:color w:val="000000"/>
        </w:rPr>
        <w:t>exceptional value across a wide span of their operations.”</w:t>
      </w:r>
    </w:p>
    <w:p w14:paraId="49948E86" w14:textId="77777777" w:rsidR="00DA4887" w:rsidRDefault="00DA4887" w:rsidP="00661A18"/>
    <w:p w14:paraId="63EF47EC" w14:textId="3D4839FC" w:rsidR="001432A1" w:rsidRPr="001432A1" w:rsidRDefault="001432A1" w:rsidP="001432A1">
      <w:pPr>
        <w:rPr>
          <w:rFonts w:eastAsia="Times New Roman" w:cstheme="minorHAnsi"/>
          <w:color w:val="000000"/>
        </w:rPr>
      </w:pPr>
      <w:r w:rsidRPr="001432A1">
        <w:rPr>
          <w:rFonts w:eastAsia="Times New Roman" w:cstheme="minorHAnsi"/>
          <w:b/>
          <w:bCs/>
          <w:color w:val="000000"/>
        </w:rPr>
        <w:t>About Wescom Resources Group</w:t>
      </w:r>
    </w:p>
    <w:p w14:paraId="6DA7111B" w14:textId="16A1444F" w:rsidR="001432A1" w:rsidRDefault="001432A1" w:rsidP="001432A1">
      <w:pPr>
        <w:rPr>
          <w:rFonts w:eastAsia="Times New Roman" w:cstheme="minorHAnsi"/>
          <w:color w:val="000000"/>
        </w:rPr>
      </w:pPr>
      <w:r w:rsidRPr="001432A1">
        <w:rPr>
          <w:rFonts w:eastAsia="Times New Roman" w:cstheme="minorHAnsi"/>
          <w:color w:val="000000"/>
        </w:rPr>
        <w:t xml:space="preserve">Backed by Wescom Credit Union, one of the nation’s largest credit unions with over $4 billion in assets and nearly 200,000 members, Wescom Resources Group provides credit unions with advanced technology solutions that increase their competitive edge. With over </w:t>
      </w:r>
      <w:r w:rsidR="00C43CE6">
        <w:rPr>
          <w:rFonts w:eastAsia="Times New Roman" w:cstheme="minorHAnsi"/>
          <w:color w:val="000000"/>
        </w:rPr>
        <w:t>75</w:t>
      </w:r>
      <w:r w:rsidRPr="001432A1">
        <w:rPr>
          <w:rFonts w:eastAsia="Times New Roman" w:cstheme="minorHAnsi"/>
          <w:color w:val="000000"/>
        </w:rPr>
        <w:t xml:space="preserve"> clients, WRG is a leader in innovative technologies for the credit union industry.  WRG offers one of the most robust </w:t>
      </w:r>
      <w:r w:rsidR="00D75C71" w:rsidRPr="001432A1">
        <w:rPr>
          <w:rFonts w:eastAsia="Times New Roman" w:cstheme="minorHAnsi"/>
          <w:color w:val="000000"/>
        </w:rPr>
        <w:t xml:space="preserve">managed services </w:t>
      </w:r>
      <w:r w:rsidRPr="001432A1">
        <w:rPr>
          <w:rFonts w:eastAsia="Times New Roman" w:cstheme="minorHAnsi"/>
          <w:color w:val="000000"/>
        </w:rPr>
        <w:t>solutions in the credit union industry</w:t>
      </w:r>
      <w:r w:rsidR="00A07675">
        <w:rPr>
          <w:rFonts w:eastAsia="Times New Roman" w:cstheme="minorHAnsi"/>
          <w:color w:val="000000"/>
        </w:rPr>
        <w:t>. In addition, WRG’s</w:t>
      </w:r>
      <w:r w:rsidR="00C00F3C">
        <w:rPr>
          <w:rFonts w:eastAsia="Times New Roman" w:cstheme="minorHAnsi"/>
          <w:color w:val="000000"/>
        </w:rPr>
        <w:t xml:space="preserve"> </w:t>
      </w:r>
      <w:proofErr w:type="spellStart"/>
      <w:r w:rsidRPr="001432A1">
        <w:rPr>
          <w:rFonts w:eastAsia="Times New Roman" w:cstheme="minorHAnsi"/>
          <w:color w:val="000000"/>
        </w:rPr>
        <w:t>Tellergy</w:t>
      </w:r>
      <w:r w:rsidRPr="001432A1">
        <w:rPr>
          <w:rFonts w:eastAsia="Times New Roman" w:cstheme="minorHAnsi"/>
          <w:color w:val="000000"/>
          <w:vertAlign w:val="superscript"/>
        </w:rPr>
        <w:t>TM</w:t>
      </w:r>
      <w:proofErr w:type="spellEnd"/>
      <w:r w:rsidRPr="001432A1">
        <w:rPr>
          <w:rFonts w:eastAsia="Times New Roman" w:cstheme="minorHAnsi"/>
          <w:color w:val="000000"/>
        </w:rPr>
        <w:t xml:space="preserve"> solution provides branch automation for today’s modern credit union.  For more information, visit </w:t>
      </w:r>
      <w:hyperlink r:id="rId6" w:history="1">
        <w:r w:rsidRPr="001432A1">
          <w:rPr>
            <w:rStyle w:val="Hyperlink"/>
            <w:rFonts w:eastAsia="Times New Roman" w:cstheme="minorHAnsi"/>
          </w:rPr>
          <w:t>www.wescomresources.com</w:t>
        </w:r>
      </w:hyperlink>
      <w:r w:rsidRPr="001432A1">
        <w:rPr>
          <w:rFonts w:eastAsia="Times New Roman" w:cstheme="minorHAnsi"/>
          <w:color w:val="000000"/>
        </w:rPr>
        <w:t>.</w:t>
      </w:r>
    </w:p>
    <w:p w14:paraId="4E56B02A" w14:textId="6EB11039" w:rsidR="000C4F1B" w:rsidRDefault="000C4F1B" w:rsidP="001432A1">
      <w:pPr>
        <w:rPr>
          <w:rFonts w:eastAsia="Times New Roman" w:cstheme="minorHAnsi"/>
          <w:color w:val="000000"/>
        </w:rPr>
      </w:pPr>
    </w:p>
    <w:p w14:paraId="19C85A2A" w14:textId="5505782E" w:rsidR="000C4F1B" w:rsidRPr="000C4F1B" w:rsidRDefault="000C4F1B" w:rsidP="001432A1">
      <w:pPr>
        <w:rPr>
          <w:rFonts w:eastAsia="Times New Roman" w:cstheme="minorHAnsi"/>
          <w:b/>
          <w:bCs/>
          <w:color w:val="000000"/>
        </w:rPr>
      </w:pPr>
      <w:r w:rsidRPr="000C4F1B">
        <w:rPr>
          <w:rFonts w:eastAsia="Times New Roman" w:cstheme="minorHAnsi"/>
          <w:b/>
          <w:bCs/>
          <w:color w:val="000000"/>
        </w:rPr>
        <w:t xml:space="preserve">About </w:t>
      </w:r>
      <w:r w:rsidR="00CE5E4B">
        <w:rPr>
          <w:rFonts w:eastAsia="Times New Roman" w:cstheme="minorHAnsi"/>
          <w:b/>
          <w:bCs/>
          <w:color w:val="000000"/>
        </w:rPr>
        <w:t>Member Support Services, LLC</w:t>
      </w:r>
    </w:p>
    <w:p w14:paraId="3F3B99DA" w14:textId="37164CC2" w:rsidR="000064D1" w:rsidRDefault="000064D1" w:rsidP="000064D1">
      <w:r>
        <w:t>Member Support Services, LLC (MSS) is a shared services Credit Union Service Organization headquartered in Cranbury, N.J. Since its founding in 2013, MSS has processed middle- and back-office operations for its three shareholder credit unions</w:t>
      </w:r>
      <w:r w:rsidR="003A40FA">
        <w:t>—</w:t>
      </w:r>
      <w:r>
        <w:t xml:space="preserve">Aspire FCU, Credit Union of New Jersey, and United Teletech Financial Federal Credit Union. </w:t>
      </w:r>
    </w:p>
    <w:p w14:paraId="7FFCF9D8" w14:textId="5FCC9E29" w:rsidR="002D7B66" w:rsidRPr="000064D1" w:rsidRDefault="000064D1" w:rsidP="002D7B66">
      <w:r>
        <w:t xml:space="preserve"> </w:t>
      </w:r>
    </w:p>
    <w:p w14:paraId="3B239050" w14:textId="7A17E3A8" w:rsidR="002D7B66" w:rsidRPr="003A40FA" w:rsidRDefault="000064D1" w:rsidP="002D7B66">
      <w:r>
        <w:t xml:space="preserve">MSS </w:t>
      </w:r>
      <w:r w:rsidR="003A40FA">
        <w:t>offers credit unions</w:t>
      </w:r>
      <w:r>
        <w:t xml:space="preserve"> operational efficiency and cost savings through economies of scale and standardization, while </w:t>
      </w:r>
      <w:r w:rsidR="003A40FA">
        <w:t>empowering them</w:t>
      </w:r>
      <w:r>
        <w:t xml:space="preserve"> to focus even more intentl</w:t>
      </w:r>
      <w:r w:rsidR="003A40FA">
        <w:t xml:space="preserve">y on </w:t>
      </w:r>
      <w:r>
        <w:t xml:space="preserve">serving their members. </w:t>
      </w:r>
    </w:p>
    <w:p w14:paraId="5E642387" w14:textId="77777777" w:rsidR="002D7B66" w:rsidRPr="002D7B66" w:rsidRDefault="002D7B66" w:rsidP="002D7B66">
      <w:pPr>
        <w:rPr>
          <w:rFonts w:eastAsia="Times New Roman" w:cstheme="minorHAnsi"/>
          <w:color w:val="000000"/>
        </w:rPr>
      </w:pPr>
    </w:p>
    <w:p w14:paraId="68DD54A2" w14:textId="65130D05" w:rsidR="00DA651A" w:rsidRPr="00DA651A" w:rsidRDefault="002D7B66" w:rsidP="002D7B66">
      <w:pPr>
        <w:rPr>
          <w:rFonts w:cstheme="minorHAnsi"/>
        </w:rPr>
      </w:pPr>
      <w:r w:rsidRPr="002D7B66">
        <w:rPr>
          <w:rFonts w:eastAsia="Times New Roman" w:cstheme="minorHAnsi"/>
          <w:color w:val="000000"/>
        </w:rPr>
        <w:t xml:space="preserve">In 2019, </w:t>
      </w:r>
      <w:r w:rsidR="003A40FA">
        <w:rPr>
          <w:rFonts w:eastAsia="Times New Roman" w:cstheme="minorHAnsi"/>
          <w:color w:val="000000"/>
        </w:rPr>
        <w:t>MSS’</w:t>
      </w:r>
      <w:r w:rsidRPr="002D7B66">
        <w:rPr>
          <w:rFonts w:eastAsia="Times New Roman" w:cstheme="minorHAnsi"/>
          <w:color w:val="000000"/>
        </w:rPr>
        <w:t xml:space="preserve"> credit union partners realized annual aggregated savings of 24% from their operating cost base when compared to their separate costs prior to </w:t>
      </w:r>
      <w:r w:rsidR="003A40FA">
        <w:rPr>
          <w:rFonts w:eastAsia="Times New Roman" w:cstheme="minorHAnsi"/>
          <w:color w:val="000000"/>
        </w:rPr>
        <w:t>forming the cooperative</w:t>
      </w:r>
      <w:r w:rsidRPr="002D7B66">
        <w:rPr>
          <w:rFonts w:eastAsia="Times New Roman" w:cstheme="minorHAnsi"/>
          <w:color w:val="000000"/>
        </w:rPr>
        <w:t>.</w:t>
      </w:r>
    </w:p>
    <w:p w14:paraId="21BAE415" w14:textId="606C1004" w:rsidR="00D260FB" w:rsidRDefault="00DA651A" w:rsidP="00661A18">
      <w:pPr>
        <w:rPr>
          <w:rFonts w:cstheme="minorHAnsi"/>
        </w:rPr>
      </w:pPr>
      <w:r>
        <w:rPr>
          <w:rFonts w:cstheme="minorHAnsi"/>
        </w:rPr>
        <w:t xml:space="preserve">Learn more </w:t>
      </w:r>
      <w:r w:rsidR="003A40FA">
        <w:rPr>
          <w:rFonts w:cstheme="minorHAnsi"/>
        </w:rPr>
        <w:t xml:space="preserve">about how MSS can help your credit union achieve operational and service excellence </w:t>
      </w:r>
      <w:r>
        <w:rPr>
          <w:rFonts w:cstheme="minorHAnsi"/>
        </w:rPr>
        <w:t>at</w:t>
      </w:r>
      <w:r w:rsidR="003A40FA">
        <w:rPr>
          <w:rFonts w:cstheme="minorHAnsi"/>
        </w:rPr>
        <w:t xml:space="preserve"> </w:t>
      </w:r>
      <w:hyperlink r:id="rId7" w:history="1">
        <w:r w:rsidR="00D34AEB" w:rsidRPr="00CF45DE">
          <w:rPr>
            <w:rStyle w:val="Hyperlink"/>
            <w:rFonts w:cstheme="minorHAnsi"/>
          </w:rPr>
          <w:t>www.msscuso.com</w:t>
        </w:r>
      </w:hyperlink>
      <w:r w:rsidR="003A40FA">
        <w:rPr>
          <w:rFonts w:cstheme="minorHAnsi"/>
        </w:rPr>
        <w:t>.</w:t>
      </w:r>
      <w:r w:rsidR="00D34AEB">
        <w:rPr>
          <w:rFonts w:cstheme="minorHAnsi"/>
        </w:rPr>
        <w:t xml:space="preserve"> </w:t>
      </w:r>
    </w:p>
    <w:p w14:paraId="2303A8F4" w14:textId="5E755BB3" w:rsidR="000064D1" w:rsidRDefault="000064D1" w:rsidP="00661A18">
      <w:pPr>
        <w:rPr>
          <w:rFonts w:cstheme="minorHAnsi"/>
        </w:rPr>
      </w:pPr>
    </w:p>
    <w:p w14:paraId="30A7F387" w14:textId="1672236E" w:rsidR="00172193" w:rsidRDefault="00661A18" w:rsidP="00F762D0">
      <w:pPr>
        <w:jc w:val="center"/>
      </w:pPr>
      <w:r w:rsidRPr="00850CBE">
        <w:t># ##</w:t>
      </w:r>
    </w:p>
    <w:sectPr w:rsidR="00172193" w:rsidSect="00096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7470"/>
    <w:multiLevelType w:val="hybridMultilevel"/>
    <w:tmpl w:val="5E0A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D1ACF"/>
    <w:multiLevelType w:val="hybridMultilevel"/>
    <w:tmpl w:val="9B466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2F6381"/>
    <w:multiLevelType w:val="hybridMultilevel"/>
    <w:tmpl w:val="40288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18"/>
    <w:rsid w:val="000064D1"/>
    <w:rsid w:val="00027391"/>
    <w:rsid w:val="0007407B"/>
    <w:rsid w:val="00096D8C"/>
    <w:rsid w:val="000C4DED"/>
    <w:rsid w:val="000C4F1B"/>
    <w:rsid w:val="000E6E35"/>
    <w:rsid w:val="0010761D"/>
    <w:rsid w:val="001178A4"/>
    <w:rsid w:val="0012380C"/>
    <w:rsid w:val="00130D6D"/>
    <w:rsid w:val="001432A1"/>
    <w:rsid w:val="001712CE"/>
    <w:rsid w:val="001A2EB0"/>
    <w:rsid w:val="001D4349"/>
    <w:rsid w:val="0024738E"/>
    <w:rsid w:val="002D7B66"/>
    <w:rsid w:val="00304039"/>
    <w:rsid w:val="00310430"/>
    <w:rsid w:val="0032409F"/>
    <w:rsid w:val="003700EC"/>
    <w:rsid w:val="00394682"/>
    <w:rsid w:val="003A0ACC"/>
    <w:rsid w:val="003A40FA"/>
    <w:rsid w:val="00421715"/>
    <w:rsid w:val="004275A9"/>
    <w:rsid w:val="00431BB9"/>
    <w:rsid w:val="00455235"/>
    <w:rsid w:val="004A5615"/>
    <w:rsid w:val="004F159D"/>
    <w:rsid w:val="00514CE9"/>
    <w:rsid w:val="00542208"/>
    <w:rsid w:val="005537B5"/>
    <w:rsid w:val="00586C90"/>
    <w:rsid w:val="005D0C32"/>
    <w:rsid w:val="0061383E"/>
    <w:rsid w:val="00640E40"/>
    <w:rsid w:val="00654D63"/>
    <w:rsid w:val="00661A18"/>
    <w:rsid w:val="006712B7"/>
    <w:rsid w:val="00686CA2"/>
    <w:rsid w:val="006C11FD"/>
    <w:rsid w:val="00717018"/>
    <w:rsid w:val="00720298"/>
    <w:rsid w:val="007252DA"/>
    <w:rsid w:val="0072702D"/>
    <w:rsid w:val="007463CC"/>
    <w:rsid w:val="00753F28"/>
    <w:rsid w:val="00762FA7"/>
    <w:rsid w:val="0079389A"/>
    <w:rsid w:val="008221A7"/>
    <w:rsid w:val="00823166"/>
    <w:rsid w:val="00827AA1"/>
    <w:rsid w:val="00831CF7"/>
    <w:rsid w:val="00833597"/>
    <w:rsid w:val="0084270D"/>
    <w:rsid w:val="00850CBE"/>
    <w:rsid w:val="008A09C0"/>
    <w:rsid w:val="008A48AB"/>
    <w:rsid w:val="008D22BF"/>
    <w:rsid w:val="008D2C50"/>
    <w:rsid w:val="008D5608"/>
    <w:rsid w:val="00942829"/>
    <w:rsid w:val="00A07675"/>
    <w:rsid w:val="00A1480E"/>
    <w:rsid w:val="00A3323B"/>
    <w:rsid w:val="00A40980"/>
    <w:rsid w:val="00A55CAB"/>
    <w:rsid w:val="00A64234"/>
    <w:rsid w:val="00A856FD"/>
    <w:rsid w:val="00AB365A"/>
    <w:rsid w:val="00AE00FD"/>
    <w:rsid w:val="00B056D5"/>
    <w:rsid w:val="00B0669F"/>
    <w:rsid w:val="00B24940"/>
    <w:rsid w:val="00B35544"/>
    <w:rsid w:val="00BB59DF"/>
    <w:rsid w:val="00BE496D"/>
    <w:rsid w:val="00C00F3C"/>
    <w:rsid w:val="00C270CD"/>
    <w:rsid w:val="00C40A9C"/>
    <w:rsid w:val="00C43CE6"/>
    <w:rsid w:val="00C54388"/>
    <w:rsid w:val="00C61539"/>
    <w:rsid w:val="00CA24AB"/>
    <w:rsid w:val="00CB5ECC"/>
    <w:rsid w:val="00CD23F5"/>
    <w:rsid w:val="00CD3414"/>
    <w:rsid w:val="00CE4149"/>
    <w:rsid w:val="00CE5E4B"/>
    <w:rsid w:val="00D041C4"/>
    <w:rsid w:val="00D2599B"/>
    <w:rsid w:val="00D260FB"/>
    <w:rsid w:val="00D31B37"/>
    <w:rsid w:val="00D34AEB"/>
    <w:rsid w:val="00D354A3"/>
    <w:rsid w:val="00D45062"/>
    <w:rsid w:val="00D75C71"/>
    <w:rsid w:val="00D931D8"/>
    <w:rsid w:val="00DA4887"/>
    <w:rsid w:val="00DA651A"/>
    <w:rsid w:val="00DC3269"/>
    <w:rsid w:val="00DE1D92"/>
    <w:rsid w:val="00DE29CA"/>
    <w:rsid w:val="00DE3B91"/>
    <w:rsid w:val="00E2400D"/>
    <w:rsid w:val="00E26ACD"/>
    <w:rsid w:val="00E50481"/>
    <w:rsid w:val="00E63B00"/>
    <w:rsid w:val="00E92987"/>
    <w:rsid w:val="00E97E23"/>
    <w:rsid w:val="00EA0C9F"/>
    <w:rsid w:val="00EA6208"/>
    <w:rsid w:val="00EF6563"/>
    <w:rsid w:val="00F013E5"/>
    <w:rsid w:val="00F37FFE"/>
    <w:rsid w:val="00F56932"/>
    <w:rsid w:val="00F56C3A"/>
    <w:rsid w:val="00F63738"/>
    <w:rsid w:val="00F762D0"/>
    <w:rsid w:val="00F80609"/>
    <w:rsid w:val="00FB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638F"/>
  <w15:chartTrackingRefBased/>
  <w15:docId w15:val="{0DC322B2-1D5C-CE44-AEDA-26AA3CB9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2A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432A1"/>
  </w:style>
  <w:style w:type="character" w:styleId="Hyperlink">
    <w:name w:val="Hyperlink"/>
    <w:basedOn w:val="DefaultParagraphFont"/>
    <w:uiPriority w:val="99"/>
    <w:unhideWhenUsed/>
    <w:rsid w:val="001432A1"/>
    <w:rPr>
      <w:color w:val="0000FF"/>
      <w:u w:val="single"/>
    </w:rPr>
  </w:style>
  <w:style w:type="character" w:customStyle="1" w:styleId="UnresolvedMention1">
    <w:name w:val="Unresolved Mention1"/>
    <w:basedOn w:val="DefaultParagraphFont"/>
    <w:uiPriority w:val="99"/>
    <w:semiHidden/>
    <w:unhideWhenUsed/>
    <w:rsid w:val="001432A1"/>
    <w:rPr>
      <w:color w:val="605E5C"/>
      <w:shd w:val="clear" w:color="auto" w:fill="E1DFDD"/>
    </w:rPr>
  </w:style>
  <w:style w:type="paragraph" w:styleId="ListParagraph">
    <w:name w:val="List Paragraph"/>
    <w:basedOn w:val="Normal"/>
    <w:uiPriority w:val="34"/>
    <w:qFormat/>
    <w:rsid w:val="00823166"/>
    <w:pPr>
      <w:ind w:left="720"/>
      <w:contextualSpacing/>
    </w:pPr>
  </w:style>
  <w:style w:type="character" w:styleId="CommentReference">
    <w:name w:val="annotation reference"/>
    <w:basedOn w:val="DefaultParagraphFont"/>
    <w:uiPriority w:val="99"/>
    <w:semiHidden/>
    <w:unhideWhenUsed/>
    <w:rsid w:val="00A55CAB"/>
    <w:rPr>
      <w:sz w:val="16"/>
      <w:szCs w:val="16"/>
    </w:rPr>
  </w:style>
  <w:style w:type="paragraph" w:styleId="CommentText">
    <w:name w:val="annotation text"/>
    <w:basedOn w:val="Normal"/>
    <w:link w:val="CommentTextChar"/>
    <w:uiPriority w:val="99"/>
    <w:semiHidden/>
    <w:unhideWhenUsed/>
    <w:rsid w:val="00A55CAB"/>
    <w:rPr>
      <w:sz w:val="20"/>
      <w:szCs w:val="20"/>
    </w:rPr>
  </w:style>
  <w:style w:type="character" w:customStyle="1" w:styleId="CommentTextChar">
    <w:name w:val="Comment Text Char"/>
    <w:basedOn w:val="DefaultParagraphFont"/>
    <w:link w:val="CommentText"/>
    <w:uiPriority w:val="99"/>
    <w:semiHidden/>
    <w:rsid w:val="00A55CAB"/>
    <w:rPr>
      <w:sz w:val="20"/>
      <w:szCs w:val="20"/>
    </w:rPr>
  </w:style>
  <w:style w:type="paragraph" w:styleId="CommentSubject">
    <w:name w:val="annotation subject"/>
    <w:basedOn w:val="CommentText"/>
    <w:next w:val="CommentText"/>
    <w:link w:val="CommentSubjectChar"/>
    <w:uiPriority w:val="99"/>
    <w:semiHidden/>
    <w:unhideWhenUsed/>
    <w:rsid w:val="00A55CAB"/>
    <w:rPr>
      <w:b/>
      <w:bCs/>
    </w:rPr>
  </w:style>
  <w:style w:type="character" w:customStyle="1" w:styleId="CommentSubjectChar">
    <w:name w:val="Comment Subject Char"/>
    <w:basedOn w:val="CommentTextChar"/>
    <w:link w:val="CommentSubject"/>
    <w:uiPriority w:val="99"/>
    <w:semiHidden/>
    <w:rsid w:val="00A55CAB"/>
    <w:rPr>
      <w:b/>
      <w:bCs/>
      <w:sz w:val="20"/>
      <w:szCs w:val="20"/>
    </w:rPr>
  </w:style>
  <w:style w:type="paragraph" w:styleId="BalloonText">
    <w:name w:val="Balloon Text"/>
    <w:basedOn w:val="Normal"/>
    <w:link w:val="BalloonTextChar"/>
    <w:uiPriority w:val="99"/>
    <w:semiHidden/>
    <w:unhideWhenUsed/>
    <w:rsid w:val="00A55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CAB"/>
    <w:rPr>
      <w:rFonts w:ascii="Segoe UI" w:hAnsi="Segoe UI" w:cs="Segoe UI"/>
      <w:sz w:val="18"/>
      <w:szCs w:val="18"/>
    </w:rPr>
  </w:style>
  <w:style w:type="character" w:customStyle="1" w:styleId="UnresolvedMention">
    <w:name w:val="Unresolved Mention"/>
    <w:basedOn w:val="DefaultParagraphFont"/>
    <w:uiPriority w:val="99"/>
    <w:semiHidden/>
    <w:unhideWhenUsed/>
    <w:rsid w:val="00DA6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8743">
      <w:bodyDiv w:val="1"/>
      <w:marLeft w:val="0"/>
      <w:marRight w:val="0"/>
      <w:marTop w:val="0"/>
      <w:marBottom w:val="0"/>
      <w:divBdr>
        <w:top w:val="none" w:sz="0" w:space="0" w:color="auto"/>
        <w:left w:val="none" w:sz="0" w:space="0" w:color="auto"/>
        <w:bottom w:val="none" w:sz="0" w:space="0" w:color="auto"/>
        <w:right w:val="none" w:sz="0" w:space="0" w:color="auto"/>
      </w:divBdr>
      <w:divsChild>
        <w:div w:id="1552885533">
          <w:marLeft w:val="0"/>
          <w:marRight w:val="0"/>
          <w:marTop w:val="0"/>
          <w:marBottom w:val="0"/>
          <w:divBdr>
            <w:top w:val="none" w:sz="0" w:space="0" w:color="auto"/>
            <w:left w:val="none" w:sz="0" w:space="0" w:color="auto"/>
            <w:bottom w:val="none" w:sz="0" w:space="0" w:color="auto"/>
            <w:right w:val="none" w:sz="0" w:space="0" w:color="auto"/>
          </w:divBdr>
          <w:divsChild>
            <w:div w:id="1383751983">
              <w:marLeft w:val="0"/>
              <w:marRight w:val="0"/>
              <w:marTop w:val="0"/>
              <w:marBottom w:val="0"/>
              <w:divBdr>
                <w:top w:val="none" w:sz="0" w:space="0" w:color="auto"/>
                <w:left w:val="none" w:sz="0" w:space="0" w:color="auto"/>
                <w:bottom w:val="none" w:sz="0" w:space="0" w:color="auto"/>
                <w:right w:val="none" w:sz="0" w:space="0" w:color="auto"/>
              </w:divBdr>
              <w:divsChild>
                <w:div w:id="9854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51621">
      <w:bodyDiv w:val="1"/>
      <w:marLeft w:val="0"/>
      <w:marRight w:val="0"/>
      <w:marTop w:val="0"/>
      <w:marBottom w:val="0"/>
      <w:divBdr>
        <w:top w:val="none" w:sz="0" w:space="0" w:color="auto"/>
        <w:left w:val="none" w:sz="0" w:space="0" w:color="auto"/>
        <w:bottom w:val="none" w:sz="0" w:space="0" w:color="auto"/>
        <w:right w:val="none" w:sz="0" w:space="0" w:color="auto"/>
      </w:divBdr>
    </w:div>
    <w:div w:id="671839439">
      <w:bodyDiv w:val="1"/>
      <w:marLeft w:val="0"/>
      <w:marRight w:val="0"/>
      <w:marTop w:val="0"/>
      <w:marBottom w:val="0"/>
      <w:divBdr>
        <w:top w:val="none" w:sz="0" w:space="0" w:color="auto"/>
        <w:left w:val="none" w:sz="0" w:space="0" w:color="auto"/>
        <w:bottom w:val="none" w:sz="0" w:space="0" w:color="auto"/>
        <w:right w:val="none" w:sz="0" w:space="0" w:color="auto"/>
      </w:divBdr>
    </w:div>
    <w:div w:id="900363183">
      <w:bodyDiv w:val="1"/>
      <w:marLeft w:val="0"/>
      <w:marRight w:val="0"/>
      <w:marTop w:val="0"/>
      <w:marBottom w:val="0"/>
      <w:divBdr>
        <w:top w:val="none" w:sz="0" w:space="0" w:color="auto"/>
        <w:left w:val="none" w:sz="0" w:space="0" w:color="auto"/>
        <w:bottom w:val="none" w:sz="0" w:space="0" w:color="auto"/>
        <w:right w:val="none" w:sz="0" w:space="0" w:color="auto"/>
      </w:divBdr>
    </w:div>
    <w:div w:id="206355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scus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comresource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Goldwyn</dc:creator>
  <cp:keywords/>
  <dc:description/>
  <cp:lastModifiedBy>Schiappa, Kerry</cp:lastModifiedBy>
  <cp:revision>2</cp:revision>
  <cp:lastPrinted>2021-02-04T21:53:00Z</cp:lastPrinted>
  <dcterms:created xsi:type="dcterms:W3CDTF">2021-02-26T22:51:00Z</dcterms:created>
  <dcterms:modified xsi:type="dcterms:W3CDTF">2021-02-26T22:51:00Z</dcterms:modified>
</cp:coreProperties>
</file>