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2D4B1" w14:textId="77777777" w:rsidR="00721BB8" w:rsidRPr="001663C1" w:rsidRDefault="00721BB8" w:rsidP="00721BB8">
      <w:pPr>
        <w:pStyle w:val="Heading2"/>
        <w:shd w:val="clear" w:color="auto" w:fill="FEFEFE"/>
        <w:spacing w:before="0" w:beforeAutospacing="0" w:after="0" w:afterAutospacing="0"/>
        <w:jc w:val="center"/>
        <w:rPr>
          <w:bCs w:val="0"/>
          <w:color w:val="FF0000"/>
          <w:sz w:val="24"/>
          <w:szCs w:val="28"/>
        </w:rPr>
      </w:pPr>
      <w:r w:rsidRPr="001D5D16">
        <w:rPr>
          <w:noProof/>
          <w:color w:val="FF0000"/>
          <w:sz w:val="24"/>
          <w:szCs w:val="28"/>
        </w:rPr>
        <w:drawing>
          <wp:inline distT="0" distB="0" distL="0" distR="0" wp14:anchorId="77BB3F52" wp14:editId="657914B6">
            <wp:extent cx="2324100" cy="812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24100" cy="812800"/>
                    </a:xfrm>
                    <a:prstGeom prst="rect">
                      <a:avLst/>
                    </a:prstGeom>
                    <a:noFill/>
                    <a:ln>
                      <a:noFill/>
                    </a:ln>
                  </pic:spPr>
                </pic:pic>
              </a:graphicData>
            </a:graphic>
          </wp:inline>
        </w:drawing>
      </w:r>
    </w:p>
    <w:p w14:paraId="2D668376" w14:textId="77777777" w:rsidR="00721BB8" w:rsidRPr="001663C1" w:rsidRDefault="00721BB8" w:rsidP="00721BB8">
      <w:pPr>
        <w:pStyle w:val="Heading2"/>
        <w:shd w:val="clear" w:color="auto" w:fill="FEFEFE"/>
        <w:spacing w:before="0" w:beforeAutospacing="0" w:after="0" w:afterAutospacing="0"/>
        <w:rPr>
          <w:bCs w:val="0"/>
          <w:color w:val="FF0000"/>
          <w:sz w:val="24"/>
          <w:szCs w:val="28"/>
        </w:rPr>
      </w:pPr>
    </w:p>
    <w:p w14:paraId="2C563455" w14:textId="47B3AEA5" w:rsidR="00721BB8" w:rsidRDefault="00707935" w:rsidP="00707935">
      <w:pPr>
        <w:spacing w:after="0" w:line="240" w:lineRule="auto"/>
        <w:rPr>
          <w:rFonts w:ascii="Arial" w:hAnsi="Arial"/>
          <w:b/>
          <w:i/>
          <w:sz w:val="32"/>
        </w:rPr>
      </w:pPr>
      <w:r>
        <w:rPr>
          <w:rFonts w:ascii="Arial" w:hAnsi="Arial"/>
          <w:b/>
          <w:i/>
          <w:noProof/>
          <w:sz w:val="32"/>
        </w:rPr>
        <w:drawing>
          <wp:inline distT="0" distB="0" distL="0" distR="0" wp14:anchorId="05D67EEC" wp14:editId="491AEC3B">
            <wp:extent cx="800888" cy="622913"/>
            <wp:effectExtent l="0" t="0" r="0" b="0"/>
            <wp:docPr id="3" name="Picture 3" descr="A picture containing text,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plan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7919" cy="636159"/>
                    </a:xfrm>
                    <a:prstGeom prst="rect">
                      <a:avLst/>
                    </a:prstGeom>
                  </pic:spPr>
                </pic:pic>
              </a:graphicData>
            </a:graphic>
          </wp:inline>
        </w:drawing>
      </w:r>
    </w:p>
    <w:p w14:paraId="533FDAF1" w14:textId="77777777" w:rsidR="008F69E0" w:rsidRDefault="008F69E0" w:rsidP="00707935">
      <w:pPr>
        <w:spacing w:after="0" w:line="240" w:lineRule="auto"/>
        <w:rPr>
          <w:rFonts w:ascii="Arial" w:hAnsi="Arial"/>
          <w:b/>
          <w:i/>
          <w:sz w:val="32"/>
        </w:rPr>
      </w:pPr>
    </w:p>
    <w:p w14:paraId="601071B2" w14:textId="40449DF8" w:rsidR="00721BB8" w:rsidRPr="008F69E0" w:rsidRDefault="00707935" w:rsidP="008F69E0">
      <w:pPr>
        <w:spacing w:after="0" w:line="240" w:lineRule="auto"/>
        <w:jc w:val="center"/>
        <w:rPr>
          <w:rFonts w:cs="Calibri"/>
          <w:b/>
          <w:sz w:val="32"/>
        </w:rPr>
      </w:pPr>
      <w:r w:rsidRPr="008F69E0">
        <w:rPr>
          <w:rFonts w:cs="Calibri"/>
          <w:b/>
          <w:sz w:val="32"/>
        </w:rPr>
        <w:t>Octillion</w:t>
      </w:r>
      <w:r w:rsidR="00721BB8" w:rsidRPr="008F69E0">
        <w:rPr>
          <w:rFonts w:cs="Calibri"/>
          <w:b/>
          <w:sz w:val="32"/>
        </w:rPr>
        <w:t xml:space="preserve"> Ranks No. </w:t>
      </w:r>
      <w:r w:rsidRPr="008F69E0">
        <w:rPr>
          <w:rFonts w:cs="Calibri"/>
          <w:b/>
          <w:sz w:val="32"/>
        </w:rPr>
        <w:t>285</w:t>
      </w:r>
      <w:r w:rsidR="00721BB8" w:rsidRPr="008F69E0">
        <w:rPr>
          <w:rFonts w:cs="Calibri"/>
          <w:b/>
          <w:sz w:val="32"/>
        </w:rPr>
        <w:t xml:space="preserve"> on the 2021 Inc. 5000</w:t>
      </w:r>
      <w:r w:rsidR="008F69E0" w:rsidRPr="008F69E0">
        <w:rPr>
          <w:rFonts w:cs="Calibri"/>
          <w:b/>
          <w:sz w:val="32"/>
        </w:rPr>
        <w:t xml:space="preserve"> </w:t>
      </w:r>
      <w:r w:rsidR="00721BB8" w:rsidRPr="00E41239">
        <w:rPr>
          <w:rFonts w:cs="Calibri"/>
          <w:b/>
          <w:sz w:val="32"/>
        </w:rPr>
        <w:t>Annual List of</w:t>
      </w:r>
    </w:p>
    <w:p w14:paraId="71E6A795" w14:textId="236D1C98" w:rsidR="00721BB8" w:rsidRPr="00E41239" w:rsidRDefault="00721BB8" w:rsidP="00721BB8">
      <w:pPr>
        <w:spacing w:after="0" w:line="240" w:lineRule="auto"/>
        <w:jc w:val="center"/>
        <w:rPr>
          <w:rFonts w:cs="Calibri"/>
          <w:b/>
          <w:sz w:val="32"/>
        </w:rPr>
      </w:pPr>
      <w:r w:rsidRPr="00E41239">
        <w:rPr>
          <w:rFonts w:cs="Calibri"/>
          <w:b/>
          <w:sz w:val="32"/>
        </w:rPr>
        <w:t>America’s Fastest-Growing Private Companies</w:t>
      </w:r>
    </w:p>
    <w:p w14:paraId="02BA7503" w14:textId="77777777" w:rsidR="00721BB8" w:rsidRPr="00E41239" w:rsidRDefault="00721BB8" w:rsidP="008F69E0">
      <w:pPr>
        <w:spacing w:after="0" w:line="240" w:lineRule="auto"/>
        <w:rPr>
          <w:rFonts w:cs="Calibri"/>
        </w:rPr>
      </w:pPr>
    </w:p>
    <w:p w14:paraId="46279B34" w14:textId="16365199" w:rsidR="00721BB8" w:rsidRPr="00E41239" w:rsidRDefault="001643C1" w:rsidP="00F129D5">
      <w:pPr>
        <w:spacing w:after="0" w:line="240" w:lineRule="auto"/>
        <w:jc w:val="both"/>
        <w:rPr>
          <w:rFonts w:cs="Calibri"/>
        </w:rPr>
      </w:pPr>
      <w:r>
        <w:rPr>
          <w:rFonts w:cs="Calibri"/>
          <w:b/>
        </w:rPr>
        <w:t>Los Angeles</w:t>
      </w:r>
      <w:r w:rsidR="00721BB8" w:rsidRPr="00E41239">
        <w:rPr>
          <w:rFonts w:cs="Calibri"/>
          <w:b/>
        </w:rPr>
        <w:t>, August 17, 2021</w:t>
      </w:r>
      <w:r w:rsidR="00721BB8" w:rsidRPr="00E41239">
        <w:rPr>
          <w:rFonts w:cs="Calibri"/>
        </w:rPr>
        <w:t xml:space="preserve"> – </w:t>
      </w:r>
      <w:r w:rsidR="00721BB8" w:rsidRPr="00E41239">
        <w:rPr>
          <w:rFonts w:cs="Calibri"/>
          <w:i/>
        </w:rPr>
        <w:t>Inc.</w:t>
      </w:r>
      <w:r w:rsidR="00721BB8" w:rsidRPr="00E41239">
        <w:rPr>
          <w:rFonts w:cs="Calibri"/>
        </w:rPr>
        <w:t xml:space="preserve"> magazine </w:t>
      </w:r>
      <w:r w:rsidR="00721BB8" w:rsidRPr="00E41239">
        <w:rPr>
          <w:rFonts w:cs="Calibri"/>
          <w:color w:val="000000" w:themeColor="text1"/>
        </w:rPr>
        <w:t xml:space="preserve">today revealed that </w:t>
      </w:r>
      <w:r w:rsidR="00B317C9" w:rsidRPr="00E41239">
        <w:rPr>
          <w:rFonts w:cs="Calibri"/>
          <w:i/>
          <w:iCs/>
          <w:color w:val="000000" w:themeColor="text1"/>
        </w:rPr>
        <w:t>Octillion</w:t>
      </w:r>
      <w:r w:rsidR="00721BB8" w:rsidRPr="00E41239">
        <w:rPr>
          <w:rFonts w:cs="Calibri"/>
          <w:i/>
          <w:iCs/>
          <w:color w:val="000000" w:themeColor="text1"/>
        </w:rPr>
        <w:t xml:space="preserve"> is No. </w:t>
      </w:r>
      <w:r w:rsidR="00B317C9" w:rsidRPr="00E41239">
        <w:rPr>
          <w:rFonts w:cs="Calibri"/>
          <w:i/>
          <w:iCs/>
          <w:color w:val="000000" w:themeColor="text1"/>
        </w:rPr>
        <w:t>285</w:t>
      </w:r>
      <w:r w:rsidR="00721BB8" w:rsidRPr="00E41239">
        <w:rPr>
          <w:rFonts w:cs="Calibri"/>
          <w:i/>
          <w:iCs/>
          <w:color w:val="000000" w:themeColor="text1"/>
        </w:rPr>
        <w:t xml:space="preserve"> on its annual Inc. 5000 list</w:t>
      </w:r>
      <w:r w:rsidR="00721BB8" w:rsidRPr="00E41239">
        <w:rPr>
          <w:rFonts w:cs="Calibri"/>
          <w:color w:val="000000" w:themeColor="text1"/>
        </w:rPr>
        <w:t xml:space="preserve">, the most prestigious ranking of the nation’s fastest-growing private companies. The list represents a unique look at the most successful companies within the American economy’s most dynamic segment—its independent small businesses. Intuit, Zappos, Under </w:t>
      </w:r>
      <w:proofErr w:type="spellStart"/>
      <w:r w:rsidR="00721BB8" w:rsidRPr="00E41239">
        <w:rPr>
          <w:rFonts w:cs="Calibri"/>
          <w:color w:val="000000" w:themeColor="text1"/>
        </w:rPr>
        <w:t>Armour</w:t>
      </w:r>
      <w:proofErr w:type="spellEnd"/>
      <w:r w:rsidR="00721BB8" w:rsidRPr="00E41239">
        <w:rPr>
          <w:rFonts w:cs="Calibri"/>
        </w:rPr>
        <w:t>, Microsoft, Patagonia, and many other well-known names gained their first national exposure as honorees on the Inc. 5000.</w:t>
      </w:r>
    </w:p>
    <w:p w14:paraId="7879ECB0" w14:textId="77777777" w:rsidR="00721BB8" w:rsidRPr="00E41239" w:rsidRDefault="00721BB8" w:rsidP="00F129D5">
      <w:pPr>
        <w:spacing w:after="0" w:line="240" w:lineRule="auto"/>
        <w:jc w:val="both"/>
        <w:rPr>
          <w:rFonts w:cs="Calibri"/>
          <w:color w:val="FF0000"/>
        </w:rPr>
      </w:pPr>
    </w:p>
    <w:p w14:paraId="787A01C3" w14:textId="35E774D8" w:rsidR="00721BB8" w:rsidRPr="00E41239" w:rsidRDefault="00721BB8" w:rsidP="00F129D5">
      <w:pPr>
        <w:spacing w:after="0" w:line="240" w:lineRule="auto"/>
        <w:jc w:val="both"/>
        <w:rPr>
          <w:rFonts w:cs="Calibri"/>
          <w:color w:val="000000" w:themeColor="text1"/>
        </w:rPr>
      </w:pPr>
      <w:r w:rsidRPr="00E41239">
        <w:rPr>
          <w:rFonts w:cs="Calibri"/>
          <w:color w:val="000000" w:themeColor="text1"/>
        </w:rPr>
        <w:t>“</w:t>
      </w:r>
      <w:r w:rsidR="00316C50" w:rsidRPr="00E41239">
        <w:rPr>
          <w:rFonts w:cs="Calibri"/>
          <w:color w:val="000000" w:themeColor="text1"/>
        </w:rPr>
        <w:t xml:space="preserve">This year was one of the most </w:t>
      </w:r>
      <w:r w:rsidR="00B317C9" w:rsidRPr="00E41239">
        <w:rPr>
          <w:rFonts w:cs="Calibri"/>
          <w:color w:val="000000" w:themeColor="text1"/>
        </w:rPr>
        <w:t xml:space="preserve">challenging for companies of all sizes. </w:t>
      </w:r>
      <w:r w:rsidR="00316C50" w:rsidRPr="00E41239">
        <w:rPr>
          <w:rFonts w:cs="Calibri"/>
          <w:color w:val="000000" w:themeColor="text1"/>
        </w:rPr>
        <w:t>As the US reopens, companies</w:t>
      </w:r>
      <w:r w:rsidR="00B317C9" w:rsidRPr="00E41239">
        <w:rPr>
          <w:rFonts w:cs="Calibri"/>
          <w:color w:val="000000" w:themeColor="text1"/>
        </w:rPr>
        <w:t xml:space="preserve"> are </w:t>
      </w:r>
      <w:r w:rsidR="00E41239" w:rsidRPr="00E41239">
        <w:rPr>
          <w:rFonts w:cs="Calibri"/>
          <w:color w:val="000000" w:themeColor="text1"/>
        </w:rPr>
        <w:t xml:space="preserve">rightfully </w:t>
      </w:r>
      <w:r w:rsidR="00B317C9" w:rsidRPr="00E41239">
        <w:rPr>
          <w:rFonts w:cs="Calibri"/>
          <w:color w:val="000000" w:themeColor="text1"/>
        </w:rPr>
        <w:t>demanding accountability from their media</w:t>
      </w:r>
      <w:r w:rsidR="008E7AF0">
        <w:rPr>
          <w:rFonts w:cs="Calibri"/>
          <w:color w:val="000000" w:themeColor="text1"/>
        </w:rPr>
        <w:t xml:space="preserve"> spend</w:t>
      </w:r>
      <w:r w:rsidR="00B317C9" w:rsidRPr="00E41239">
        <w:rPr>
          <w:rFonts w:cs="Calibri"/>
          <w:color w:val="000000" w:themeColor="text1"/>
        </w:rPr>
        <w:t>. I am very proud of our team for the tremendous work they did to deliver a record year of growth while helping our clients deliver quantifiable business outcomes from their streaming audio</w:t>
      </w:r>
      <w:r w:rsidR="001643C1">
        <w:rPr>
          <w:rFonts w:cs="Calibri"/>
          <w:color w:val="000000" w:themeColor="text1"/>
        </w:rPr>
        <w:t xml:space="preserve">, </w:t>
      </w:r>
      <w:r w:rsidR="00F129D5">
        <w:rPr>
          <w:rFonts w:cs="Calibri"/>
          <w:color w:val="000000" w:themeColor="text1"/>
        </w:rPr>
        <w:t xml:space="preserve">CTV and </w:t>
      </w:r>
      <w:r w:rsidR="001643C1">
        <w:rPr>
          <w:rFonts w:cs="Calibri"/>
          <w:color w:val="000000" w:themeColor="text1"/>
        </w:rPr>
        <w:t>DOOH</w:t>
      </w:r>
      <w:r w:rsidR="00B317C9" w:rsidRPr="00E41239">
        <w:rPr>
          <w:rFonts w:cs="Calibri"/>
          <w:color w:val="000000" w:themeColor="text1"/>
        </w:rPr>
        <w:t xml:space="preserve"> </w:t>
      </w:r>
      <w:r w:rsidR="001643C1" w:rsidRPr="00E41239">
        <w:rPr>
          <w:rFonts w:cs="Calibri"/>
          <w:color w:val="000000" w:themeColor="text1"/>
        </w:rPr>
        <w:t>campaigns”</w:t>
      </w:r>
      <w:r w:rsidR="001643C1">
        <w:rPr>
          <w:rFonts w:cs="Calibri"/>
          <w:color w:val="000000" w:themeColor="text1"/>
        </w:rPr>
        <w:t xml:space="preserve">, said Gabe Greenberg, Octillion’s CEO. “We are proud to be in such great company. </w:t>
      </w:r>
      <w:proofErr w:type="gramStart"/>
      <w:r w:rsidR="001643C1">
        <w:rPr>
          <w:rFonts w:cs="Calibri"/>
          <w:color w:val="000000" w:themeColor="text1"/>
        </w:rPr>
        <w:t xml:space="preserve">As </w:t>
      </w:r>
      <w:r w:rsidR="008E7AF0">
        <w:rPr>
          <w:rFonts w:cs="Calibri"/>
          <w:color w:val="000000" w:themeColor="text1"/>
        </w:rPr>
        <w:t>long as</w:t>
      </w:r>
      <w:proofErr w:type="gramEnd"/>
      <w:r w:rsidR="008E7AF0">
        <w:rPr>
          <w:rFonts w:cs="Calibri"/>
          <w:color w:val="000000" w:themeColor="text1"/>
        </w:rPr>
        <w:t xml:space="preserve"> </w:t>
      </w:r>
      <w:r w:rsidR="001643C1">
        <w:rPr>
          <w:rFonts w:cs="Calibri"/>
          <w:color w:val="000000" w:themeColor="text1"/>
        </w:rPr>
        <w:t xml:space="preserve">we continue to help </w:t>
      </w:r>
      <w:r w:rsidR="008E7AF0">
        <w:rPr>
          <w:rFonts w:cs="Calibri"/>
          <w:color w:val="000000" w:themeColor="text1"/>
        </w:rPr>
        <w:t xml:space="preserve">media and advertising </w:t>
      </w:r>
      <w:r w:rsidR="001643C1">
        <w:rPr>
          <w:rFonts w:cs="Calibri"/>
          <w:color w:val="000000" w:themeColor="text1"/>
        </w:rPr>
        <w:t xml:space="preserve">clients avoid fraud, gather savings </w:t>
      </w:r>
      <w:r w:rsidR="001643C1">
        <w:rPr>
          <w:rFonts w:cs="Calibri"/>
          <w:color w:val="000000" w:themeColor="text1"/>
        </w:rPr>
        <w:t>via</w:t>
      </w:r>
      <w:r w:rsidR="001643C1">
        <w:rPr>
          <w:rFonts w:cs="Calibri"/>
          <w:color w:val="000000" w:themeColor="text1"/>
        </w:rPr>
        <w:t xml:space="preserve"> our PaaS transparent model and quantify and improve business outcomes, </w:t>
      </w:r>
      <w:r w:rsidR="001643C1">
        <w:rPr>
          <w:rFonts w:cs="Calibri"/>
          <w:color w:val="000000" w:themeColor="text1"/>
        </w:rPr>
        <w:t xml:space="preserve">we will grow at similar paces of others </w:t>
      </w:r>
      <w:r w:rsidR="00F129D5">
        <w:rPr>
          <w:rFonts w:cs="Calibri"/>
          <w:color w:val="000000" w:themeColor="text1"/>
        </w:rPr>
        <w:t xml:space="preserve">who’ve </w:t>
      </w:r>
      <w:r w:rsidR="001643C1">
        <w:rPr>
          <w:rFonts w:cs="Calibri"/>
          <w:color w:val="000000" w:themeColor="text1"/>
        </w:rPr>
        <w:t xml:space="preserve">graced the Inc.5000 and can only hope to enjoy the success that companies like Zappos, Microsoft or Intuit have. </w:t>
      </w:r>
    </w:p>
    <w:p w14:paraId="7BA29058" w14:textId="77777777" w:rsidR="00721BB8" w:rsidRPr="00E41239" w:rsidRDefault="00721BB8" w:rsidP="00F129D5">
      <w:pPr>
        <w:spacing w:after="0" w:line="240" w:lineRule="auto"/>
        <w:jc w:val="both"/>
        <w:rPr>
          <w:rFonts w:cs="Calibri"/>
        </w:rPr>
      </w:pPr>
    </w:p>
    <w:p w14:paraId="26887F93" w14:textId="77777777" w:rsidR="00721BB8" w:rsidRPr="00E41239" w:rsidRDefault="00721BB8" w:rsidP="00F129D5">
      <w:pPr>
        <w:spacing w:after="0" w:line="240" w:lineRule="auto"/>
        <w:jc w:val="both"/>
        <w:rPr>
          <w:rFonts w:cs="Calibri"/>
        </w:rPr>
      </w:pPr>
      <w:r w:rsidRPr="00E41239">
        <w:rPr>
          <w:rFonts w:cs="Calibri"/>
        </w:rPr>
        <w:t>Not only have the companies on the 2021 Inc. 5000 been very competitive within their markets, but this year’s list also proved especially resilient and flexible given 2020’s unprecedented challenges. Among the 5,000, the average median three-year growth rate soared to 543 percent, and median revenue reached $11.1 million. Together, those companies added more than 610,000 jobs over the past three years.</w:t>
      </w:r>
    </w:p>
    <w:p w14:paraId="5D92EAC4" w14:textId="77777777" w:rsidR="00721BB8" w:rsidRPr="00E41239" w:rsidRDefault="00721BB8" w:rsidP="00F129D5">
      <w:pPr>
        <w:spacing w:after="0" w:line="240" w:lineRule="auto"/>
        <w:jc w:val="both"/>
        <w:rPr>
          <w:rFonts w:cs="Calibri"/>
        </w:rPr>
      </w:pPr>
    </w:p>
    <w:p w14:paraId="68453C2A" w14:textId="31660CF5" w:rsidR="00721BB8" w:rsidRPr="00E41239" w:rsidRDefault="00721BB8" w:rsidP="00F129D5">
      <w:pPr>
        <w:spacing w:after="0" w:line="240" w:lineRule="auto"/>
        <w:jc w:val="both"/>
        <w:rPr>
          <w:rFonts w:cs="Calibri"/>
        </w:rPr>
      </w:pPr>
      <w:r w:rsidRPr="00E41239">
        <w:rPr>
          <w:rFonts w:cs="Calibri"/>
        </w:rPr>
        <w:t xml:space="preserve">Complete results of the Inc. 5000, including company profiles and an interactive database that can be sorted by industry, region, and other criteria, can be found at </w:t>
      </w:r>
      <w:hyperlink r:id="rId8" w:history="1">
        <w:r w:rsidRPr="00E41239">
          <w:rPr>
            <w:rStyle w:val="Hyperlink"/>
            <w:rFonts w:cs="Calibri"/>
          </w:rPr>
          <w:t>www.inc.com/inc5000</w:t>
        </w:r>
      </w:hyperlink>
      <w:r w:rsidRPr="00E41239">
        <w:rPr>
          <w:rFonts w:cs="Calibri"/>
        </w:rPr>
        <w:t xml:space="preserve">. The top 500 companies are featured in the September issue of </w:t>
      </w:r>
      <w:r w:rsidRPr="00E41239">
        <w:rPr>
          <w:rFonts w:cs="Calibri"/>
          <w:i/>
        </w:rPr>
        <w:t>Inc.</w:t>
      </w:r>
      <w:r w:rsidRPr="00E41239">
        <w:rPr>
          <w:rFonts w:cs="Calibri"/>
        </w:rPr>
        <w:t>, which will be available on newsstands on August 20</w:t>
      </w:r>
      <w:r w:rsidR="00316C50" w:rsidRPr="00E41239">
        <w:rPr>
          <w:rFonts w:cs="Calibri"/>
        </w:rPr>
        <w:t>, 2021</w:t>
      </w:r>
      <w:r w:rsidRPr="00E41239">
        <w:rPr>
          <w:rFonts w:cs="Calibri"/>
        </w:rPr>
        <w:t>.</w:t>
      </w:r>
    </w:p>
    <w:p w14:paraId="432204BA" w14:textId="77777777" w:rsidR="00721BB8" w:rsidRPr="00E41239" w:rsidRDefault="00721BB8" w:rsidP="00F129D5">
      <w:pPr>
        <w:spacing w:after="0" w:line="240" w:lineRule="auto"/>
        <w:jc w:val="both"/>
        <w:rPr>
          <w:rFonts w:cs="Calibri"/>
        </w:rPr>
      </w:pPr>
    </w:p>
    <w:p w14:paraId="5531ADDB" w14:textId="53BF28B7" w:rsidR="00721BB8" w:rsidRDefault="00721BB8" w:rsidP="00F129D5">
      <w:pPr>
        <w:spacing w:after="0" w:line="240" w:lineRule="auto"/>
        <w:jc w:val="both"/>
        <w:rPr>
          <w:rFonts w:cs="Calibri"/>
        </w:rPr>
      </w:pPr>
      <w:r w:rsidRPr="00E41239">
        <w:rPr>
          <w:rFonts w:cs="Calibri"/>
        </w:rPr>
        <w:t>“The 2021 Inc. 5000 list feels like one of the most important rosters of companies ever compiled,” says Scott Omelianuk, editor-in-chief of Inc. “Building one of the fastest-growing companies in America in any year is a remarkable achievement. Building one in the crisis we’ve lived through is just plain amazing. This kind of accomplishment comes with hard work, smart pivots, great leadership, and the help of a whole lot of people.”</w:t>
      </w:r>
    </w:p>
    <w:p w14:paraId="6789D429" w14:textId="77777777" w:rsidR="008F69E0" w:rsidRPr="00F129D5" w:rsidRDefault="008F69E0" w:rsidP="00F129D5">
      <w:pPr>
        <w:spacing w:after="0" w:line="240" w:lineRule="auto"/>
        <w:jc w:val="both"/>
        <w:rPr>
          <w:rFonts w:cs="Calibri"/>
        </w:rPr>
      </w:pPr>
    </w:p>
    <w:p w14:paraId="444894A0" w14:textId="77777777" w:rsidR="00E41239" w:rsidRDefault="00E41239" w:rsidP="00F129D5">
      <w:pPr>
        <w:spacing w:after="0" w:line="240" w:lineRule="auto"/>
        <w:jc w:val="both"/>
        <w:rPr>
          <w:rFonts w:cs="Calibri"/>
          <w:b/>
        </w:rPr>
      </w:pPr>
    </w:p>
    <w:p w14:paraId="6BE4C304" w14:textId="77777777" w:rsidR="008F69E0" w:rsidRDefault="008F69E0" w:rsidP="00F129D5">
      <w:pPr>
        <w:spacing w:after="0" w:line="240" w:lineRule="auto"/>
        <w:jc w:val="both"/>
        <w:rPr>
          <w:rFonts w:cs="Calibri"/>
          <w:b/>
        </w:rPr>
      </w:pPr>
    </w:p>
    <w:p w14:paraId="74C4D619" w14:textId="421A5C6D" w:rsidR="00E41239" w:rsidRDefault="00316C50" w:rsidP="00F129D5">
      <w:pPr>
        <w:spacing w:after="0" w:line="240" w:lineRule="auto"/>
        <w:jc w:val="both"/>
        <w:rPr>
          <w:rFonts w:cs="Calibri"/>
          <w:b/>
        </w:rPr>
      </w:pPr>
      <w:r w:rsidRPr="00E41239">
        <w:rPr>
          <w:rFonts w:cs="Calibri"/>
          <w:b/>
        </w:rPr>
        <w:lastRenderedPageBreak/>
        <w:t>About Octillion</w:t>
      </w:r>
    </w:p>
    <w:p w14:paraId="08589D3D" w14:textId="77777777" w:rsidR="008F69E0" w:rsidRPr="00E41239" w:rsidRDefault="008F69E0" w:rsidP="00F129D5">
      <w:pPr>
        <w:spacing w:after="0" w:line="240" w:lineRule="auto"/>
        <w:jc w:val="both"/>
        <w:rPr>
          <w:rFonts w:cs="Calibri"/>
          <w:b/>
        </w:rPr>
      </w:pPr>
    </w:p>
    <w:p w14:paraId="238795DE" w14:textId="1FE518B9" w:rsidR="007A57BC" w:rsidRPr="00E41239" w:rsidRDefault="007A57BC" w:rsidP="00F129D5">
      <w:pPr>
        <w:pStyle w:val="xmsonormal"/>
        <w:spacing w:before="0" w:beforeAutospacing="0" w:after="0" w:afterAutospacing="0"/>
        <w:jc w:val="both"/>
        <w:rPr>
          <w:rFonts w:ascii="Calibri" w:hAnsi="Calibri" w:cs="Calibri"/>
          <w:color w:val="000000"/>
          <w:sz w:val="22"/>
          <w:szCs w:val="22"/>
        </w:rPr>
      </w:pPr>
      <w:r w:rsidRPr="00E41239">
        <w:rPr>
          <w:rFonts w:ascii="Calibri" w:hAnsi="Calibri" w:cs="Calibri"/>
          <w:color w:val="000000"/>
          <w:sz w:val="22"/>
          <w:szCs w:val="22"/>
        </w:rPr>
        <w:t xml:space="preserve">Octillion Media is a Platform as </w:t>
      </w:r>
      <w:r w:rsidRPr="00E41239">
        <w:rPr>
          <w:rFonts w:ascii="Calibri" w:hAnsi="Calibri" w:cs="Calibri"/>
          <w:color w:val="000000"/>
          <w:sz w:val="22"/>
          <w:szCs w:val="22"/>
        </w:rPr>
        <w:t>a</w:t>
      </w:r>
      <w:r w:rsidRPr="00E41239">
        <w:rPr>
          <w:rFonts w:ascii="Calibri" w:hAnsi="Calibri" w:cs="Calibri"/>
          <w:color w:val="000000"/>
          <w:sz w:val="22"/>
          <w:szCs w:val="22"/>
        </w:rPr>
        <w:t xml:space="preserve"> Service </w:t>
      </w:r>
      <w:r w:rsidRPr="00E41239">
        <w:rPr>
          <w:rFonts w:ascii="Calibri" w:hAnsi="Calibri" w:cs="Calibri"/>
          <w:color w:val="000000"/>
          <w:sz w:val="22"/>
          <w:szCs w:val="22"/>
        </w:rPr>
        <w:t xml:space="preserve">company </w:t>
      </w:r>
      <w:r w:rsidRPr="00E41239">
        <w:rPr>
          <w:rFonts w:ascii="Calibri" w:hAnsi="Calibri" w:cs="Calibri"/>
          <w:color w:val="000000"/>
          <w:sz w:val="22"/>
          <w:szCs w:val="22"/>
        </w:rPr>
        <w:t xml:space="preserve">powering </w:t>
      </w:r>
      <w:r w:rsidRPr="00E41239">
        <w:rPr>
          <w:rFonts w:ascii="Calibri" w:hAnsi="Calibri" w:cs="Calibri"/>
          <w:color w:val="000000"/>
          <w:sz w:val="22"/>
          <w:szCs w:val="22"/>
        </w:rPr>
        <w:t xml:space="preserve">bespoke and configurable </w:t>
      </w:r>
      <w:r w:rsidRPr="00E41239">
        <w:rPr>
          <w:rFonts w:ascii="Calibri" w:hAnsi="Calibri" w:cs="Calibri"/>
          <w:color w:val="000000"/>
          <w:sz w:val="22"/>
          <w:szCs w:val="22"/>
        </w:rPr>
        <w:t>Connected TV, Video, Digital Audio and DOOH</w:t>
      </w:r>
      <w:r w:rsidRPr="00E41239">
        <w:rPr>
          <w:rFonts w:ascii="Calibri" w:hAnsi="Calibri" w:cs="Calibri"/>
          <w:color w:val="000000"/>
          <w:sz w:val="22"/>
          <w:szCs w:val="22"/>
        </w:rPr>
        <w:t xml:space="preserve"> services</w:t>
      </w:r>
      <w:r w:rsidRPr="00E41239">
        <w:rPr>
          <w:rFonts w:ascii="Calibri" w:hAnsi="Calibri" w:cs="Calibri"/>
          <w:color w:val="000000"/>
          <w:sz w:val="22"/>
          <w:szCs w:val="22"/>
        </w:rPr>
        <w:t xml:space="preserve">. Octillion’s platform named FATE (Fraud-free, Accountable, Transparent and Efficient), is purpose-built for Local and Mid-Market Buyers but easily adaptable </w:t>
      </w:r>
      <w:r w:rsidRPr="00E41239">
        <w:rPr>
          <w:rFonts w:ascii="Calibri" w:hAnsi="Calibri" w:cs="Calibri"/>
          <w:color w:val="000000"/>
          <w:sz w:val="22"/>
          <w:szCs w:val="22"/>
        </w:rPr>
        <w:t>and used by</w:t>
      </w:r>
      <w:r w:rsidRPr="00E41239">
        <w:rPr>
          <w:rFonts w:ascii="Calibri" w:hAnsi="Calibri" w:cs="Calibri"/>
          <w:color w:val="000000"/>
          <w:sz w:val="22"/>
          <w:szCs w:val="22"/>
        </w:rPr>
        <w:t xml:space="preserve"> National and Global Buyers</w:t>
      </w:r>
      <w:r w:rsidRPr="00E41239">
        <w:rPr>
          <w:rFonts w:ascii="Calibri" w:hAnsi="Calibri" w:cs="Calibri"/>
          <w:color w:val="000000"/>
          <w:sz w:val="22"/>
          <w:szCs w:val="22"/>
        </w:rPr>
        <w:t xml:space="preserve"> alike</w:t>
      </w:r>
      <w:r w:rsidRPr="00E41239">
        <w:rPr>
          <w:rFonts w:ascii="Calibri" w:hAnsi="Calibri" w:cs="Calibri"/>
          <w:color w:val="000000"/>
          <w:sz w:val="22"/>
          <w:szCs w:val="22"/>
        </w:rPr>
        <w:t xml:space="preserve">. </w:t>
      </w:r>
    </w:p>
    <w:p w14:paraId="2F2499BF" w14:textId="2A2AFBF2" w:rsidR="007A57BC" w:rsidRPr="00E41239" w:rsidRDefault="007A57BC" w:rsidP="00F129D5">
      <w:pPr>
        <w:pStyle w:val="xmsonormal"/>
        <w:spacing w:before="0" w:beforeAutospacing="0" w:after="0" w:afterAutospacing="0"/>
        <w:jc w:val="both"/>
        <w:rPr>
          <w:rFonts w:ascii="Calibri" w:hAnsi="Calibri" w:cs="Calibri"/>
          <w:color w:val="000000"/>
          <w:sz w:val="22"/>
          <w:szCs w:val="22"/>
        </w:rPr>
      </w:pPr>
    </w:p>
    <w:p w14:paraId="19336143" w14:textId="7DE830E7" w:rsidR="007A57BC" w:rsidRPr="00E41239" w:rsidRDefault="00E41239" w:rsidP="00F129D5">
      <w:pPr>
        <w:pStyle w:val="xmsonormal0"/>
        <w:spacing w:before="0" w:beforeAutospacing="0" w:after="0" w:afterAutospacing="0"/>
        <w:jc w:val="both"/>
        <w:rPr>
          <w:rFonts w:ascii="Calibri" w:hAnsi="Calibri" w:cs="Calibri"/>
          <w:color w:val="000000"/>
          <w:sz w:val="22"/>
          <w:szCs w:val="22"/>
        </w:rPr>
      </w:pPr>
      <w:r w:rsidRPr="00E41239">
        <w:rPr>
          <w:rFonts w:ascii="Calibri" w:hAnsi="Calibri" w:cs="Calibri"/>
          <w:color w:val="000000"/>
          <w:sz w:val="22"/>
          <w:szCs w:val="22"/>
        </w:rPr>
        <w:t>FATE provides</w:t>
      </w:r>
      <w:r w:rsidR="007A57BC" w:rsidRPr="00E41239">
        <w:rPr>
          <w:rFonts w:ascii="Calibri" w:hAnsi="Calibri" w:cs="Calibri"/>
          <w:color w:val="000000"/>
          <w:sz w:val="22"/>
          <w:szCs w:val="22"/>
        </w:rPr>
        <w:t xml:space="preserve"> access to the most desired and exclusive inventory the market offers, including leading streaming pla</w:t>
      </w:r>
      <w:r w:rsidRPr="00E41239">
        <w:rPr>
          <w:rFonts w:ascii="Calibri" w:hAnsi="Calibri" w:cs="Calibri"/>
          <w:color w:val="000000"/>
          <w:sz w:val="22"/>
          <w:szCs w:val="22"/>
        </w:rPr>
        <w:t>t</w:t>
      </w:r>
      <w:r w:rsidR="007A57BC" w:rsidRPr="00E41239">
        <w:rPr>
          <w:rFonts w:ascii="Calibri" w:hAnsi="Calibri" w:cs="Calibri"/>
          <w:color w:val="000000"/>
          <w:sz w:val="22"/>
          <w:szCs w:val="22"/>
        </w:rPr>
        <w:t>forms, live sports, Cable and Broadcast Networks and so much more</w:t>
      </w:r>
      <w:r w:rsidRPr="00E41239">
        <w:rPr>
          <w:rFonts w:ascii="Calibri" w:hAnsi="Calibri" w:cs="Calibri"/>
          <w:color w:val="000000"/>
          <w:sz w:val="22"/>
          <w:szCs w:val="22"/>
        </w:rPr>
        <w:t xml:space="preserve"> in a platform that brands, agencies, broadcast groups and others can configure for their specific needs</w:t>
      </w:r>
      <w:r w:rsidR="007A57BC" w:rsidRPr="00E41239">
        <w:rPr>
          <w:rFonts w:ascii="Calibri" w:hAnsi="Calibri" w:cs="Calibri"/>
          <w:color w:val="000000"/>
          <w:sz w:val="22"/>
          <w:szCs w:val="22"/>
        </w:rPr>
        <w:t>.  Buyers praise Octillion for the</w:t>
      </w:r>
      <w:r w:rsidR="007A57BC" w:rsidRPr="00E41239">
        <w:rPr>
          <w:rStyle w:val="apple-converted-space"/>
          <w:rFonts w:ascii="Calibri" w:hAnsi="Calibri" w:cs="Calibri"/>
          <w:color w:val="000000"/>
          <w:sz w:val="22"/>
          <w:szCs w:val="22"/>
        </w:rPr>
        <w:t> </w:t>
      </w:r>
      <w:r w:rsidR="007A57BC" w:rsidRPr="00E41239">
        <w:rPr>
          <w:rFonts w:ascii="Calibri" w:hAnsi="Calibri" w:cs="Calibri"/>
          <w:color w:val="000000"/>
          <w:sz w:val="22"/>
          <w:szCs w:val="22"/>
        </w:rPr>
        <w:t>elegant</w:t>
      </w:r>
      <w:r w:rsidR="007A57BC" w:rsidRPr="00E41239">
        <w:rPr>
          <w:rStyle w:val="apple-converted-space"/>
          <w:rFonts w:ascii="Calibri" w:hAnsi="Calibri" w:cs="Calibri"/>
          <w:color w:val="000000"/>
          <w:sz w:val="22"/>
          <w:szCs w:val="22"/>
        </w:rPr>
        <w:t> </w:t>
      </w:r>
      <w:r w:rsidR="007A57BC" w:rsidRPr="00E41239">
        <w:rPr>
          <w:rFonts w:ascii="Calibri" w:hAnsi="Calibri" w:cs="Calibri"/>
          <w:color w:val="000000"/>
          <w:sz w:val="22"/>
          <w:szCs w:val="22"/>
        </w:rPr>
        <w:t>and</w:t>
      </w:r>
      <w:r w:rsidR="007A57BC" w:rsidRPr="00E41239">
        <w:rPr>
          <w:rStyle w:val="apple-converted-space"/>
          <w:rFonts w:ascii="Calibri" w:hAnsi="Calibri" w:cs="Calibri"/>
          <w:color w:val="000000"/>
          <w:sz w:val="22"/>
          <w:szCs w:val="22"/>
        </w:rPr>
        <w:t> </w:t>
      </w:r>
      <w:r w:rsidR="007A57BC" w:rsidRPr="00E41239">
        <w:rPr>
          <w:rFonts w:ascii="Calibri" w:hAnsi="Calibri" w:cs="Calibri"/>
          <w:color w:val="000000"/>
          <w:sz w:val="22"/>
          <w:szCs w:val="22"/>
        </w:rPr>
        <w:t>easy</w:t>
      </w:r>
      <w:r w:rsidR="007A57BC" w:rsidRPr="00E41239">
        <w:rPr>
          <w:rStyle w:val="apple-converted-space"/>
          <w:rFonts w:ascii="Calibri" w:hAnsi="Calibri" w:cs="Calibri"/>
          <w:color w:val="000000"/>
          <w:sz w:val="22"/>
          <w:szCs w:val="22"/>
        </w:rPr>
        <w:t> </w:t>
      </w:r>
      <w:r w:rsidR="007A57BC" w:rsidRPr="00E41239">
        <w:rPr>
          <w:rFonts w:ascii="Calibri" w:hAnsi="Calibri" w:cs="Calibri"/>
          <w:color w:val="000000"/>
          <w:sz w:val="22"/>
          <w:szCs w:val="22"/>
        </w:rPr>
        <w:t>to use platform powering</w:t>
      </w:r>
      <w:r w:rsidR="007A57BC" w:rsidRPr="00E41239">
        <w:rPr>
          <w:rStyle w:val="apple-converted-space"/>
          <w:rFonts w:ascii="Calibri" w:hAnsi="Calibri" w:cs="Calibri"/>
          <w:b/>
          <w:bCs/>
          <w:color w:val="000000"/>
          <w:sz w:val="22"/>
          <w:szCs w:val="22"/>
        </w:rPr>
        <w:t> </w:t>
      </w:r>
      <w:r w:rsidR="007A57BC" w:rsidRPr="00E41239">
        <w:rPr>
          <w:rFonts w:ascii="Calibri" w:hAnsi="Calibri" w:cs="Calibri"/>
          <w:color w:val="000000"/>
          <w:sz w:val="22"/>
          <w:szCs w:val="22"/>
        </w:rPr>
        <w:t>premium digital planning, buying, optimization and attribution solutions.</w:t>
      </w:r>
      <w:r w:rsidR="007A57BC" w:rsidRPr="00E41239">
        <w:rPr>
          <w:rStyle w:val="apple-converted-space"/>
          <w:rFonts w:ascii="Calibri" w:hAnsi="Calibri" w:cs="Calibri"/>
          <w:color w:val="000000"/>
          <w:sz w:val="22"/>
          <w:szCs w:val="22"/>
        </w:rPr>
        <w:t> </w:t>
      </w:r>
    </w:p>
    <w:p w14:paraId="08A5CEC6" w14:textId="5BFA3734" w:rsidR="00F129D5" w:rsidRPr="00F129D5" w:rsidRDefault="00E41239" w:rsidP="00F129D5">
      <w:pPr>
        <w:pStyle w:val="NormalWeb"/>
        <w:shd w:val="clear" w:color="auto" w:fill="FEFEFE"/>
        <w:jc w:val="both"/>
        <w:rPr>
          <w:rFonts w:ascii="Calibri" w:hAnsi="Calibri" w:cs="Calibri"/>
          <w:sz w:val="22"/>
          <w:szCs w:val="22"/>
        </w:rPr>
      </w:pPr>
      <w:r w:rsidRPr="00E41239">
        <w:rPr>
          <w:rFonts w:ascii="Calibri" w:hAnsi="Calibri" w:cs="Calibri"/>
          <w:color w:val="000000"/>
          <w:sz w:val="22"/>
          <w:szCs w:val="22"/>
        </w:rPr>
        <w:t xml:space="preserve">Octillion’s advanced, proprietary technology offering </w:t>
      </w:r>
      <w:r w:rsidR="007A57BC" w:rsidRPr="00E41239">
        <w:rPr>
          <w:rFonts w:ascii="Calibri" w:hAnsi="Calibri" w:cs="Calibri"/>
          <w:color w:val="000000"/>
          <w:sz w:val="22"/>
          <w:szCs w:val="22"/>
        </w:rPr>
        <w:t>FATE</w:t>
      </w:r>
      <w:r w:rsidRPr="00E41239">
        <w:rPr>
          <w:rFonts w:ascii="Calibri" w:hAnsi="Calibri" w:cs="Calibri"/>
          <w:color w:val="000000"/>
          <w:sz w:val="22"/>
          <w:szCs w:val="22"/>
        </w:rPr>
        <w:t>,</w:t>
      </w:r>
      <w:r w:rsidR="007A57BC" w:rsidRPr="00E41239">
        <w:rPr>
          <w:rFonts w:ascii="Calibri" w:hAnsi="Calibri" w:cs="Calibri"/>
          <w:color w:val="000000"/>
          <w:sz w:val="22"/>
          <w:szCs w:val="22"/>
        </w:rPr>
        <w:t xml:space="preserve"> is differentiated from the market through enhanced </w:t>
      </w:r>
      <w:proofErr w:type="spellStart"/>
      <w:r w:rsidR="007A57BC" w:rsidRPr="00E41239">
        <w:rPr>
          <w:rFonts w:ascii="Calibri" w:hAnsi="Calibri" w:cs="Calibri"/>
          <w:color w:val="000000"/>
          <w:sz w:val="22"/>
          <w:szCs w:val="22"/>
        </w:rPr>
        <w:t>cookieless</w:t>
      </w:r>
      <w:proofErr w:type="spellEnd"/>
      <w:r w:rsidR="007A57BC" w:rsidRPr="00E41239">
        <w:rPr>
          <w:rFonts w:ascii="Calibri" w:hAnsi="Calibri" w:cs="Calibri"/>
          <w:color w:val="000000"/>
          <w:sz w:val="22"/>
          <w:szCs w:val="22"/>
        </w:rPr>
        <w:t xml:space="preserve"> data models, proprietary OTT-first device graph and a powerful DMP, Octillion delivers strength and ease </w:t>
      </w:r>
      <w:r w:rsidR="007A57BC" w:rsidRPr="00E41239">
        <w:rPr>
          <w:rFonts w:ascii="Calibri" w:hAnsi="Calibri" w:cs="Calibri"/>
          <w:color w:val="000000"/>
          <w:sz w:val="22"/>
          <w:szCs w:val="22"/>
        </w:rPr>
        <w:t>with their fully</w:t>
      </w:r>
      <w:r w:rsidR="007A57BC" w:rsidRPr="00E41239">
        <w:rPr>
          <w:rFonts w:ascii="Calibri" w:hAnsi="Calibri" w:cs="Calibri"/>
          <w:color w:val="000000"/>
          <w:sz w:val="22"/>
          <w:szCs w:val="22"/>
        </w:rPr>
        <w:t xml:space="preserve"> transparent and fraud-free platform</w:t>
      </w:r>
      <w:r w:rsidR="007A57BC" w:rsidRPr="00E41239">
        <w:rPr>
          <w:rFonts w:ascii="Calibri" w:hAnsi="Calibri" w:cs="Calibri"/>
          <w:color w:val="000000"/>
          <w:sz w:val="22"/>
          <w:szCs w:val="22"/>
        </w:rPr>
        <w:t xml:space="preserve"> that powers </w:t>
      </w:r>
      <w:r w:rsidR="007A57BC" w:rsidRPr="00E41239">
        <w:rPr>
          <w:rFonts w:ascii="Calibri" w:hAnsi="Calibri" w:cs="Calibri"/>
          <w:color w:val="000000"/>
          <w:sz w:val="22"/>
          <w:szCs w:val="22"/>
        </w:rPr>
        <w:t xml:space="preserve">real-time attribution, audience solutions as well </w:t>
      </w:r>
      <w:r w:rsidRPr="00E41239">
        <w:rPr>
          <w:rFonts w:ascii="Calibri" w:hAnsi="Calibri" w:cs="Calibri"/>
          <w:color w:val="000000"/>
          <w:sz w:val="22"/>
          <w:szCs w:val="22"/>
        </w:rPr>
        <w:t xml:space="preserve">as </w:t>
      </w:r>
      <w:r w:rsidR="007A57BC" w:rsidRPr="00E41239">
        <w:rPr>
          <w:rFonts w:ascii="Calibri" w:hAnsi="Calibri" w:cs="Calibri"/>
          <w:color w:val="000000"/>
          <w:sz w:val="22"/>
          <w:szCs w:val="22"/>
        </w:rPr>
        <w:t>complete transparency.</w:t>
      </w:r>
      <w:r w:rsidR="007A57BC" w:rsidRPr="00E41239">
        <w:rPr>
          <w:rStyle w:val="apple-converted-space"/>
          <w:rFonts w:ascii="Calibri" w:hAnsi="Calibri" w:cs="Calibri"/>
          <w:color w:val="000000"/>
          <w:sz w:val="22"/>
          <w:szCs w:val="22"/>
        </w:rPr>
        <w:t> </w:t>
      </w:r>
      <w:r w:rsidR="00F129D5" w:rsidRPr="00E41239">
        <w:rPr>
          <w:rFonts w:ascii="Calibri" w:hAnsi="Calibri" w:cs="Calibri"/>
          <w:sz w:val="22"/>
          <w:szCs w:val="22"/>
        </w:rPr>
        <w:t>For more information, visit</w:t>
      </w:r>
      <w:r w:rsidR="00F129D5">
        <w:rPr>
          <w:rFonts w:ascii="Calibri" w:hAnsi="Calibri" w:cs="Calibri"/>
          <w:sz w:val="22"/>
          <w:szCs w:val="22"/>
        </w:rPr>
        <w:t xml:space="preserve"> </w:t>
      </w:r>
      <w:hyperlink r:id="rId9" w:history="1">
        <w:r w:rsidR="00F129D5" w:rsidRPr="00DB01FF">
          <w:rPr>
            <w:rStyle w:val="Hyperlink"/>
            <w:rFonts w:ascii="Calibri" w:hAnsi="Calibri" w:cs="Calibri"/>
            <w:sz w:val="22"/>
            <w:szCs w:val="22"/>
          </w:rPr>
          <w:t>www.octillion.tech</w:t>
        </w:r>
      </w:hyperlink>
      <w:r w:rsidR="00F129D5">
        <w:rPr>
          <w:rFonts w:ascii="Calibri" w:hAnsi="Calibri" w:cs="Calibri"/>
          <w:sz w:val="22"/>
          <w:szCs w:val="22"/>
        </w:rPr>
        <w:t xml:space="preserve">. </w:t>
      </w:r>
    </w:p>
    <w:p w14:paraId="22F10F34" w14:textId="1D37DA03" w:rsidR="00721BB8" w:rsidRPr="00E41239" w:rsidRDefault="00721BB8" w:rsidP="00F129D5">
      <w:pPr>
        <w:spacing w:after="0" w:line="240" w:lineRule="auto"/>
        <w:jc w:val="both"/>
        <w:rPr>
          <w:rFonts w:eastAsia="Times New Roman" w:cs="Calibri"/>
          <w:color w:val="000000"/>
        </w:rPr>
      </w:pPr>
      <w:r w:rsidRPr="00E41239">
        <w:rPr>
          <w:rFonts w:cs="Calibri"/>
          <w:b/>
        </w:rPr>
        <w:t>CONTACT:</w:t>
      </w:r>
      <w:r w:rsidRPr="00E41239">
        <w:rPr>
          <w:rFonts w:cs="Calibri"/>
        </w:rPr>
        <w:t xml:space="preserve"> </w:t>
      </w:r>
      <w:r w:rsidRPr="00E41239">
        <w:rPr>
          <w:rFonts w:cs="Calibri"/>
          <w:color w:val="000000" w:themeColor="text1"/>
        </w:rPr>
        <w:tab/>
      </w:r>
      <w:r w:rsidR="00316C50" w:rsidRPr="00E41239">
        <w:rPr>
          <w:rFonts w:eastAsia="Times New Roman" w:cs="Calibri"/>
          <w:color w:val="000000"/>
        </w:rPr>
        <w:t>Please direct media inquiries to Tina Morra</w:t>
      </w:r>
      <w:r w:rsidR="00E41239" w:rsidRPr="00E41239">
        <w:rPr>
          <w:rFonts w:eastAsia="Times New Roman" w:cs="Calibri"/>
          <w:color w:val="000000"/>
        </w:rPr>
        <w:t>,</w:t>
      </w:r>
      <w:r w:rsidR="00316C50" w:rsidRPr="00E41239">
        <w:rPr>
          <w:rFonts w:eastAsia="Times New Roman" w:cs="Calibri"/>
          <w:color w:val="000000"/>
        </w:rPr>
        <w:t xml:space="preserve"> contact@octillion.tv</w:t>
      </w:r>
      <w:r w:rsidR="00E41239" w:rsidRPr="00E41239">
        <w:rPr>
          <w:rFonts w:eastAsia="Times New Roman" w:cs="Calibri"/>
          <w:color w:val="000000"/>
        </w:rPr>
        <w:t>.</w:t>
      </w:r>
    </w:p>
    <w:p w14:paraId="1641E1AF" w14:textId="77777777" w:rsidR="00721BB8" w:rsidRPr="00E41239" w:rsidRDefault="00721BB8" w:rsidP="00F129D5">
      <w:pPr>
        <w:spacing w:after="0" w:line="240" w:lineRule="auto"/>
        <w:jc w:val="both"/>
        <w:rPr>
          <w:rFonts w:cs="Calibri"/>
          <w:b/>
        </w:rPr>
      </w:pPr>
    </w:p>
    <w:p w14:paraId="787BAD7E" w14:textId="77777777" w:rsidR="00721BB8" w:rsidRPr="00E41239" w:rsidRDefault="00721BB8" w:rsidP="00F129D5">
      <w:pPr>
        <w:spacing w:after="0" w:line="240" w:lineRule="auto"/>
        <w:jc w:val="both"/>
        <w:rPr>
          <w:rFonts w:cs="Calibri"/>
          <w:b/>
        </w:rPr>
      </w:pPr>
      <w:r w:rsidRPr="00E41239">
        <w:rPr>
          <w:rFonts w:cs="Calibri"/>
          <w:b/>
        </w:rPr>
        <w:t xml:space="preserve">More about </w:t>
      </w:r>
      <w:r w:rsidRPr="00E41239">
        <w:rPr>
          <w:rFonts w:cs="Calibri"/>
          <w:b/>
          <w:i/>
        </w:rPr>
        <w:t>Inc.</w:t>
      </w:r>
      <w:r w:rsidRPr="00E41239">
        <w:rPr>
          <w:rFonts w:cs="Calibri"/>
          <w:b/>
        </w:rPr>
        <w:t xml:space="preserve"> and the Inc. 5000</w:t>
      </w:r>
    </w:p>
    <w:p w14:paraId="3BBBC072" w14:textId="77777777" w:rsidR="00721BB8" w:rsidRPr="00E41239" w:rsidRDefault="00721BB8" w:rsidP="00F129D5">
      <w:pPr>
        <w:spacing w:after="0" w:line="240" w:lineRule="auto"/>
        <w:jc w:val="both"/>
        <w:rPr>
          <w:rFonts w:cs="Calibri"/>
          <w:b/>
        </w:rPr>
      </w:pPr>
    </w:p>
    <w:p w14:paraId="2CD2B10E" w14:textId="77777777" w:rsidR="00721BB8" w:rsidRPr="00E41239" w:rsidRDefault="00721BB8" w:rsidP="00F129D5">
      <w:pPr>
        <w:pStyle w:val="NormalWeb"/>
        <w:shd w:val="clear" w:color="auto" w:fill="FEFEFE"/>
        <w:spacing w:before="0" w:beforeAutospacing="0" w:after="0" w:afterAutospacing="0"/>
        <w:jc w:val="both"/>
        <w:rPr>
          <w:rFonts w:ascii="Calibri" w:hAnsi="Calibri" w:cs="Calibri"/>
          <w:sz w:val="22"/>
          <w:szCs w:val="22"/>
        </w:rPr>
      </w:pPr>
      <w:r w:rsidRPr="00E41239">
        <w:rPr>
          <w:rStyle w:val="Strong"/>
          <w:rFonts w:ascii="Calibri" w:hAnsi="Calibri" w:cs="Calibri"/>
          <w:sz w:val="22"/>
          <w:szCs w:val="22"/>
        </w:rPr>
        <w:t>Methodology</w:t>
      </w:r>
    </w:p>
    <w:p w14:paraId="29DF1F2F" w14:textId="77777777" w:rsidR="00721BB8" w:rsidRPr="00E41239" w:rsidRDefault="00721BB8" w:rsidP="00F129D5">
      <w:pPr>
        <w:pStyle w:val="NormalWeb"/>
        <w:shd w:val="clear" w:color="auto" w:fill="FEFEFE"/>
        <w:spacing w:before="0" w:beforeAutospacing="0" w:after="0" w:afterAutospacing="0"/>
        <w:jc w:val="both"/>
        <w:rPr>
          <w:rFonts w:ascii="Calibri" w:hAnsi="Calibri" w:cs="Calibri"/>
          <w:color w:val="000000"/>
          <w:sz w:val="22"/>
          <w:szCs w:val="22"/>
        </w:rPr>
      </w:pPr>
      <w:r w:rsidRPr="00E41239">
        <w:rPr>
          <w:rFonts w:ascii="Calibri" w:hAnsi="Calibri" w:cs="Calibri"/>
          <w:color w:val="000000"/>
          <w:sz w:val="22"/>
          <w:szCs w:val="22"/>
        </w:rPr>
        <w:t>Companies on the 2021 Inc. 5000 are ranked according to percentage revenue growth from 2017 to 2020. To</w:t>
      </w:r>
      <w:r w:rsidRPr="00E41239">
        <w:rPr>
          <w:rFonts w:ascii="Calibri" w:hAnsi="Calibri" w:cs="Calibri"/>
          <w:sz w:val="22"/>
          <w:szCs w:val="22"/>
        </w:rPr>
        <w:t xml:space="preserve"> </w:t>
      </w:r>
      <w:r w:rsidRPr="00E41239">
        <w:rPr>
          <w:rFonts w:ascii="Calibri" w:hAnsi="Calibri" w:cs="Calibri"/>
          <w:color w:val="000000"/>
          <w:sz w:val="22"/>
          <w:szCs w:val="22"/>
        </w:rPr>
        <w:t>qualify, companies must have been founded and generating</w:t>
      </w:r>
      <w:r w:rsidRPr="00E41239">
        <w:rPr>
          <w:rFonts w:ascii="Calibri" w:hAnsi="Calibri" w:cs="Calibri"/>
          <w:sz w:val="22"/>
          <w:szCs w:val="22"/>
        </w:rPr>
        <w:t xml:space="preserve"> </w:t>
      </w:r>
      <w:r w:rsidRPr="00E41239">
        <w:rPr>
          <w:rFonts w:ascii="Calibri" w:hAnsi="Calibri" w:cs="Calibri"/>
          <w:color w:val="000000"/>
          <w:sz w:val="22"/>
          <w:szCs w:val="22"/>
        </w:rPr>
        <w:t>revenue by March 31, 2017. They must be U.S.-based,</w:t>
      </w:r>
      <w:r w:rsidRPr="00E41239">
        <w:rPr>
          <w:rFonts w:ascii="Calibri" w:hAnsi="Calibri" w:cs="Calibri"/>
          <w:sz w:val="22"/>
          <w:szCs w:val="22"/>
        </w:rPr>
        <w:t xml:space="preserve"> </w:t>
      </w:r>
      <w:r w:rsidRPr="00E41239">
        <w:rPr>
          <w:rFonts w:ascii="Calibri" w:hAnsi="Calibri" w:cs="Calibri"/>
          <w:color w:val="000000"/>
          <w:sz w:val="22"/>
          <w:szCs w:val="22"/>
        </w:rPr>
        <w:t>privately held, for-profit, and independent—not subsidiaries</w:t>
      </w:r>
      <w:r w:rsidRPr="00E41239">
        <w:rPr>
          <w:rFonts w:ascii="Calibri" w:hAnsi="Calibri" w:cs="Calibri"/>
          <w:sz w:val="22"/>
          <w:szCs w:val="22"/>
        </w:rPr>
        <w:t xml:space="preserve"> </w:t>
      </w:r>
      <w:r w:rsidRPr="00E41239">
        <w:rPr>
          <w:rFonts w:ascii="Calibri" w:hAnsi="Calibri" w:cs="Calibri"/>
          <w:color w:val="000000"/>
          <w:sz w:val="22"/>
          <w:szCs w:val="22"/>
        </w:rPr>
        <w:t>or divisions of other companies—as of December 31,</w:t>
      </w:r>
      <w:r w:rsidRPr="00E41239">
        <w:rPr>
          <w:rFonts w:ascii="Calibri" w:hAnsi="Calibri" w:cs="Calibri"/>
          <w:sz w:val="22"/>
          <w:szCs w:val="22"/>
        </w:rPr>
        <w:t xml:space="preserve"> </w:t>
      </w:r>
      <w:r w:rsidRPr="00E41239">
        <w:rPr>
          <w:rFonts w:ascii="Calibri" w:hAnsi="Calibri" w:cs="Calibri"/>
          <w:color w:val="000000"/>
          <w:sz w:val="22"/>
          <w:szCs w:val="22"/>
        </w:rPr>
        <w:t>2020. (Since then, some on the list may have gone public</w:t>
      </w:r>
      <w:r w:rsidRPr="00E41239">
        <w:rPr>
          <w:rFonts w:ascii="Calibri" w:hAnsi="Calibri" w:cs="Calibri"/>
          <w:sz w:val="22"/>
          <w:szCs w:val="22"/>
        </w:rPr>
        <w:t xml:space="preserve"> </w:t>
      </w:r>
      <w:r w:rsidRPr="00E41239">
        <w:rPr>
          <w:rFonts w:ascii="Calibri" w:hAnsi="Calibri" w:cs="Calibri"/>
          <w:color w:val="000000"/>
          <w:sz w:val="22"/>
          <w:szCs w:val="22"/>
        </w:rPr>
        <w:t>or been acquired.) The minimum revenue required for</w:t>
      </w:r>
      <w:r w:rsidRPr="00E41239">
        <w:rPr>
          <w:rFonts w:ascii="Calibri" w:hAnsi="Calibri" w:cs="Calibri"/>
          <w:sz w:val="22"/>
          <w:szCs w:val="22"/>
        </w:rPr>
        <w:t xml:space="preserve"> </w:t>
      </w:r>
      <w:r w:rsidRPr="00E41239">
        <w:rPr>
          <w:rFonts w:ascii="Calibri" w:hAnsi="Calibri" w:cs="Calibri"/>
          <w:color w:val="000000"/>
          <w:sz w:val="22"/>
          <w:szCs w:val="22"/>
        </w:rPr>
        <w:t>2017 is $100,000; the minimum for 2020 is $2 million. As</w:t>
      </w:r>
      <w:r w:rsidRPr="00E41239">
        <w:rPr>
          <w:rFonts w:ascii="Calibri" w:hAnsi="Calibri" w:cs="Calibri"/>
          <w:sz w:val="22"/>
          <w:szCs w:val="22"/>
        </w:rPr>
        <w:t xml:space="preserve"> </w:t>
      </w:r>
      <w:r w:rsidRPr="00E41239">
        <w:rPr>
          <w:rFonts w:ascii="Calibri" w:hAnsi="Calibri" w:cs="Calibri"/>
          <w:color w:val="000000"/>
          <w:sz w:val="22"/>
          <w:szCs w:val="22"/>
        </w:rPr>
        <w:t>always, Inc. reserves the right to decline applicants for</w:t>
      </w:r>
      <w:r w:rsidRPr="00E41239">
        <w:rPr>
          <w:rFonts w:ascii="Calibri" w:hAnsi="Calibri" w:cs="Calibri"/>
          <w:sz w:val="22"/>
          <w:szCs w:val="22"/>
        </w:rPr>
        <w:t xml:space="preserve"> </w:t>
      </w:r>
      <w:r w:rsidRPr="00E41239">
        <w:rPr>
          <w:rFonts w:ascii="Calibri" w:hAnsi="Calibri" w:cs="Calibri"/>
          <w:color w:val="000000"/>
          <w:sz w:val="22"/>
          <w:szCs w:val="22"/>
        </w:rPr>
        <w:t>subjective reasons. Growth rates used to determine company</w:t>
      </w:r>
      <w:r w:rsidRPr="00E41239">
        <w:rPr>
          <w:rFonts w:ascii="Calibri" w:hAnsi="Calibri" w:cs="Calibri"/>
          <w:sz w:val="22"/>
          <w:szCs w:val="22"/>
        </w:rPr>
        <w:t xml:space="preserve"> </w:t>
      </w:r>
      <w:r w:rsidRPr="00E41239">
        <w:rPr>
          <w:rFonts w:ascii="Calibri" w:hAnsi="Calibri" w:cs="Calibri"/>
          <w:color w:val="000000"/>
          <w:sz w:val="22"/>
          <w:szCs w:val="22"/>
        </w:rPr>
        <w:t xml:space="preserve">rankings were calculated to three decimal places. There was one tie on this year’s Inc. 5000.  Companies on the Inc. 500 are featured in </w:t>
      </w:r>
      <w:r w:rsidRPr="00E41239">
        <w:rPr>
          <w:rFonts w:ascii="Calibri" w:hAnsi="Calibri" w:cs="Calibri"/>
          <w:i/>
          <w:color w:val="000000"/>
          <w:sz w:val="22"/>
          <w:szCs w:val="22"/>
        </w:rPr>
        <w:t>Inc.</w:t>
      </w:r>
      <w:r w:rsidRPr="00E41239">
        <w:rPr>
          <w:rFonts w:ascii="Calibri" w:hAnsi="Calibri" w:cs="Calibri"/>
          <w:color w:val="000000"/>
          <w:sz w:val="22"/>
          <w:szCs w:val="22"/>
        </w:rPr>
        <w:t>’s September issue. They represent the top tier of the Inc. 5000, which can be found at</w:t>
      </w:r>
      <w:r w:rsidRPr="00E41239">
        <w:rPr>
          <w:rStyle w:val="apple-converted-space"/>
          <w:rFonts w:ascii="Calibri" w:hAnsi="Calibri" w:cs="Calibri"/>
          <w:color w:val="000000"/>
          <w:sz w:val="22"/>
          <w:szCs w:val="22"/>
        </w:rPr>
        <w:t> </w:t>
      </w:r>
      <w:hyperlink r:id="rId10" w:history="1">
        <w:r w:rsidRPr="00E41239">
          <w:rPr>
            <w:rStyle w:val="Hyperlink"/>
            <w:rFonts w:ascii="Calibri" w:hAnsi="Calibri" w:cs="Calibri"/>
            <w:color w:val="000000"/>
            <w:sz w:val="22"/>
            <w:szCs w:val="22"/>
          </w:rPr>
          <w:t>http://www.inc.com/inc5000</w:t>
        </w:r>
      </w:hyperlink>
      <w:r w:rsidRPr="00E41239">
        <w:rPr>
          <w:rStyle w:val="apple-converted-space"/>
          <w:rFonts w:ascii="Calibri" w:hAnsi="Calibri" w:cs="Calibri"/>
          <w:color w:val="000000"/>
          <w:sz w:val="22"/>
          <w:szCs w:val="22"/>
        </w:rPr>
        <w:t>.</w:t>
      </w:r>
    </w:p>
    <w:p w14:paraId="6FBC1148" w14:textId="77777777" w:rsidR="00721BB8" w:rsidRPr="00E41239" w:rsidRDefault="00721BB8" w:rsidP="00F129D5">
      <w:pPr>
        <w:pStyle w:val="NormalWeb"/>
        <w:shd w:val="clear" w:color="auto" w:fill="FEFEFE"/>
        <w:spacing w:before="0" w:beforeAutospacing="0" w:after="0" w:afterAutospacing="0"/>
        <w:jc w:val="both"/>
        <w:rPr>
          <w:rStyle w:val="Strong"/>
          <w:rFonts w:ascii="Calibri" w:hAnsi="Calibri" w:cs="Calibri"/>
          <w:sz w:val="22"/>
          <w:szCs w:val="22"/>
        </w:rPr>
      </w:pPr>
    </w:p>
    <w:p w14:paraId="024E327C" w14:textId="77777777" w:rsidR="00E41239" w:rsidRPr="00E41239" w:rsidRDefault="00E41239" w:rsidP="00F129D5">
      <w:pPr>
        <w:spacing w:after="0" w:line="240" w:lineRule="auto"/>
        <w:jc w:val="both"/>
        <w:rPr>
          <w:rFonts w:cs="Calibri"/>
          <w:b/>
          <w:bCs/>
        </w:rPr>
      </w:pPr>
    </w:p>
    <w:p w14:paraId="1CEFF4BD" w14:textId="2A510C36" w:rsidR="00721BB8" w:rsidRPr="00E41239" w:rsidRDefault="00721BB8" w:rsidP="00F129D5">
      <w:pPr>
        <w:spacing w:after="0" w:line="240" w:lineRule="auto"/>
        <w:jc w:val="both"/>
        <w:rPr>
          <w:rFonts w:cs="Calibri"/>
          <w:b/>
          <w:bCs/>
        </w:rPr>
      </w:pPr>
      <w:r w:rsidRPr="00E41239">
        <w:rPr>
          <w:rFonts w:cs="Calibri"/>
          <w:b/>
          <w:bCs/>
        </w:rPr>
        <w:t>About Inc. Media</w:t>
      </w:r>
    </w:p>
    <w:p w14:paraId="3C8CBA9F" w14:textId="77777777" w:rsidR="00721BB8" w:rsidRPr="00E41239" w:rsidRDefault="00721BB8" w:rsidP="00F129D5">
      <w:pPr>
        <w:pStyle w:val="NormalWeb"/>
        <w:shd w:val="clear" w:color="auto" w:fill="FEFEFE"/>
        <w:jc w:val="both"/>
        <w:rPr>
          <w:rFonts w:ascii="Calibri" w:hAnsi="Calibri" w:cs="Calibri"/>
          <w:sz w:val="22"/>
          <w:szCs w:val="22"/>
        </w:rPr>
      </w:pPr>
      <w:r w:rsidRPr="00E41239">
        <w:rPr>
          <w:rFonts w:ascii="Calibri" w:hAnsi="Calibri" w:cs="Calibri"/>
          <w:sz w:val="22"/>
          <w:szCs w:val="22"/>
        </w:rPr>
        <w:t xml:space="preserve">The world’s most trusted business-media brand, Inc. offers entrepreneurs the knowledge, tools, connections, and community to build great companies. Its award-winning multiplatform content reaches more than 50 million people each month across a variety of channels including web sites, newsletters, social media, podcasts, and print. Its prestigious Inc. 5000 list, produced every year since 1982, analyzes company data to recognize the fastest-growing privately held businesses in the United States. The global recognition that comes with inclusion in the 5000 gives the founders of the best businesses an opportunity to engage with an exclusive community of their peers, and the credibility that helps them drive sales and recruit talent. The associated Inc. 5000 Vision Conference is part of a highly acclaimed portfolio of bespoke events produced by Inc. For more information, visit </w:t>
      </w:r>
      <w:hyperlink r:id="rId11" w:history="1">
        <w:r w:rsidRPr="00E41239">
          <w:rPr>
            <w:rStyle w:val="Hyperlink"/>
            <w:rFonts w:ascii="Calibri" w:eastAsia="Cambria" w:hAnsi="Calibri" w:cs="Calibri"/>
            <w:sz w:val="22"/>
            <w:szCs w:val="22"/>
          </w:rPr>
          <w:t>www.inc.com</w:t>
        </w:r>
      </w:hyperlink>
      <w:r w:rsidRPr="00E41239">
        <w:rPr>
          <w:rFonts w:ascii="Calibri" w:hAnsi="Calibri" w:cs="Calibri"/>
          <w:sz w:val="22"/>
          <w:szCs w:val="22"/>
        </w:rPr>
        <w:t>.</w:t>
      </w:r>
    </w:p>
    <w:p w14:paraId="1E45D2F8" w14:textId="2F7A944B" w:rsidR="00817C29" w:rsidRPr="00E41239" w:rsidRDefault="00721BB8" w:rsidP="00F129D5">
      <w:pPr>
        <w:pStyle w:val="NormalWeb"/>
        <w:shd w:val="clear" w:color="auto" w:fill="FEFEFE"/>
        <w:spacing w:before="0" w:beforeAutospacing="0" w:after="0" w:afterAutospacing="0"/>
        <w:jc w:val="both"/>
        <w:rPr>
          <w:rFonts w:ascii="Calibri" w:hAnsi="Calibri" w:cs="Calibri"/>
          <w:sz w:val="22"/>
          <w:szCs w:val="22"/>
        </w:rPr>
      </w:pPr>
      <w:r w:rsidRPr="00E41239">
        <w:rPr>
          <w:rFonts w:ascii="Calibri" w:hAnsi="Calibri" w:cs="Calibri"/>
          <w:sz w:val="22"/>
          <w:szCs w:val="22"/>
        </w:rPr>
        <w:t xml:space="preserve">For more information on the Inc. 5000 Vision Conference, visit </w:t>
      </w:r>
      <w:hyperlink r:id="rId12" w:history="1">
        <w:r w:rsidRPr="00E41239">
          <w:rPr>
            <w:rStyle w:val="Hyperlink"/>
            <w:rFonts w:ascii="Calibri" w:hAnsi="Calibri" w:cs="Calibri"/>
            <w:sz w:val="22"/>
            <w:szCs w:val="22"/>
          </w:rPr>
          <w:t>http://conference.inc.com/</w:t>
        </w:r>
      </w:hyperlink>
      <w:r w:rsidRPr="00E41239">
        <w:rPr>
          <w:rFonts w:ascii="Calibri" w:hAnsi="Calibri" w:cs="Calibri"/>
          <w:sz w:val="22"/>
          <w:szCs w:val="22"/>
        </w:rPr>
        <w:t xml:space="preserve">. </w:t>
      </w:r>
    </w:p>
    <w:sectPr w:rsidR="00817C29" w:rsidRPr="00E41239" w:rsidSect="00AA6B2C">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13A3B" w14:textId="77777777" w:rsidR="004005E7" w:rsidRDefault="004005E7">
      <w:pPr>
        <w:spacing w:after="0" w:line="240" w:lineRule="auto"/>
      </w:pPr>
      <w:r>
        <w:separator/>
      </w:r>
    </w:p>
  </w:endnote>
  <w:endnote w:type="continuationSeparator" w:id="0">
    <w:p w14:paraId="017D1782" w14:textId="77777777" w:rsidR="004005E7" w:rsidRDefault="0040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4B3C0" w14:textId="77777777" w:rsidR="004005E7" w:rsidRDefault="004005E7">
      <w:pPr>
        <w:spacing w:after="0" w:line="240" w:lineRule="auto"/>
      </w:pPr>
      <w:r>
        <w:separator/>
      </w:r>
    </w:p>
  </w:footnote>
  <w:footnote w:type="continuationSeparator" w:id="0">
    <w:p w14:paraId="6C17E5C5" w14:textId="77777777" w:rsidR="004005E7" w:rsidRDefault="00400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7F489" w14:textId="77777777" w:rsidR="00F45A68" w:rsidRPr="009F4D2E" w:rsidRDefault="004005E7" w:rsidP="00340BBF">
    <w:pPr>
      <w:pStyle w:val="Header"/>
      <w:tabs>
        <w:tab w:val="clear" w:pos="9360"/>
      </w:tabs>
      <w:ind w:left="-270"/>
      <w:rPr>
        <w:rFonts w:ascii="Arial Narrow" w:hAnsi="Arial Narrow"/>
        <w:color w:val="7F7F7F"/>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BB8"/>
    <w:rsid w:val="001643C1"/>
    <w:rsid w:val="00316C50"/>
    <w:rsid w:val="004005E7"/>
    <w:rsid w:val="005F3B36"/>
    <w:rsid w:val="00707935"/>
    <w:rsid w:val="00721BB8"/>
    <w:rsid w:val="007A57BC"/>
    <w:rsid w:val="00817C29"/>
    <w:rsid w:val="008E7AF0"/>
    <w:rsid w:val="008F69E0"/>
    <w:rsid w:val="00B317C9"/>
    <w:rsid w:val="00E41239"/>
    <w:rsid w:val="00F129D5"/>
    <w:rsid w:val="00F55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F532E"/>
  <w15:chartTrackingRefBased/>
  <w15:docId w15:val="{B9215C3E-C7EC-4B00-B3FA-80B8FC4F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BB8"/>
    <w:pPr>
      <w:spacing w:after="200" w:line="276" w:lineRule="auto"/>
    </w:pPr>
    <w:rPr>
      <w:rFonts w:ascii="Calibri" w:eastAsia="Calibri" w:hAnsi="Calibri" w:cs="Times New Roman"/>
    </w:rPr>
  </w:style>
  <w:style w:type="paragraph" w:styleId="Heading2">
    <w:name w:val="heading 2"/>
    <w:basedOn w:val="Normal"/>
    <w:link w:val="Heading2Char"/>
    <w:uiPriority w:val="9"/>
    <w:qFormat/>
    <w:rsid w:val="00721BB8"/>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1BB8"/>
    <w:rPr>
      <w:rFonts w:ascii="Times New Roman" w:eastAsia="Times New Roman" w:hAnsi="Times New Roman" w:cs="Times New Roman"/>
      <w:b/>
      <w:bCs/>
      <w:sz w:val="36"/>
      <w:szCs w:val="36"/>
    </w:rPr>
  </w:style>
  <w:style w:type="paragraph" w:styleId="NormalWeb">
    <w:name w:val="Normal (Web)"/>
    <w:basedOn w:val="Normal"/>
    <w:uiPriority w:val="99"/>
    <w:unhideWhenUsed/>
    <w:rsid w:val="00721BB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721BB8"/>
  </w:style>
  <w:style w:type="character" w:styleId="Hyperlink">
    <w:name w:val="Hyperlink"/>
    <w:uiPriority w:val="99"/>
    <w:unhideWhenUsed/>
    <w:rsid w:val="00721BB8"/>
    <w:rPr>
      <w:color w:val="0000FF"/>
      <w:u w:val="single"/>
    </w:rPr>
  </w:style>
  <w:style w:type="character" w:styleId="Strong">
    <w:name w:val="Strong"/>
    <w:uiPriority w:val="22"/>
    <w:qFormat/>
    <w:rsid w:val="00721BB8"/>
    <w:rPr>
      <w:b/>
      <w:bCs/>
    </w:rPr>
  </w:style>
  <w:style w:type="paragraph" w:styleId="Header">
    <w:name w:val="header"/>
    <w:basedOn w:val="Normal"/>
    <w:link w:val="HeaderChar"/>
    <w:uiPriority w:val="99"/>
    <w:unhideWhenUsed/>
    <w:rsid w:val="00721BB8"/>
    <w:pPr>
      <w:tabs>
        <w:tab w:val="center" w:pos="4680"/>
        <w:tab w:val="right" w:pos="9360"/>
      </w:tabs>
    </w:pPr>
  </w:style>
  <w:style w:type="character" w:customStyle="1" w:styleId="HeaderChar">
    <w:name w:val="Header Char"/>
    <w:basedOn w:val="DefaultParagraphFont"/>
    <w:link w:val="Header"/>
    <w:uiPriority w:val="99"/>
    <w:rsid w:val="00721BB8"/>
    <w:rPr>
      <w:rFonts w:ascii="Calibri" w:eastAsia="Calibri" w:hAnsi="Calibri" w:cs="Times New Roman"/>
    </w:rPr>
  </w:style>
  <w:style w:type="paragraph" w:styleId="Footer">
    <w:name w:val="footer"/>
    <w:basedOn w:val="Normal"/>
    <w:link w:val="FooterChar"/>
    <w:uiPriority w:val="99"/>
    <w:unhideWhenUsed/>
    <w:rsid w:val="00707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935"/>
    <w:rPr>
      <w:rFonts w:ascii="Calibri" w:eastAsia="Calibri" w:hAnsi="Calibri" w:cs="Times New Roman"/>
    </w:rPr>
  </w:style>
  <w:style w:type="paragraph" w:customStyle="1" w:styleId="xmsonormal">
    <w:name w:val="x_msonormal"/>
    <w:basedOn w:val="Normal"/>
    <w:rsid w:val="007A57BC"/>
    <w:pPr>
      <w:spacing w:before="100" w:beforeAutospacing="1" w:after="100" w:afterAutospacing="1" w:line="240" w:lineRule="auto"/>
    </w:pPr>
    <w:rPr>
      <w:rFonts w:ascii="Times New Roman" w:eastAsia="Times New Roman" w:hAnsi="Times New Roman"/>
      <w:sz w:val="24"/>
      <w:szCs w:val="24"/>
    </w:rPr>
  </w:style>
  <w:style w:type="paragraph" w:customStyle="1" w:styleId="xmsonormal0">
    <w:name w:val="xmsonormal"/>
    <w:basedOn w:val="Normal"/>
    <w:rsid w:val="007A57BC"/>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F12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com/inc5000"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conference.in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inc.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inc.com/inc5000" TargetMode="External"/><Relationship Id="rId4" Type="http://schemas.openxmlformats.org/officeDocument/2006/relationships/footnotes" Target="footnotes.xml"/><Relationship Id="rId9" Type="http://schemas.openxmlformats.org/officeDocument/2006/relationships/hyperlink" Target="http://www.octillion.te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Adams</dc:creator>
  <cp:keywords/>
  <dc:description/>
  <cp:lastModifiedBy>Gabriel Greenberg Octillion Media</cp:lastModifiedBy>
  <cp:revision>8</cp:revision>
  <dcterms:created xsi:type="dcterms:W3CDTF">2021-08-16T16:05:00Z</dcterms:created>
  <dcterms:modified xsi:type="dcterms:W3CDTF">2021-08-16T17:56:00Z</dcterms:modified>
</cp:coreProperties>
</file>